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bookmarkEnd w:id="0"/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是（   ）    否（    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pPr>
        <w:rPr>
          <w:rFonts w:hint="eastAsia" w:ascii="方正楷体简体" w:eastAsia="方正楷体简体"/>
          <w:szCs w:val="21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备注：本表一式2份（可复制）；有科技成果者须附专家鉴定意见。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 w:bidi="ar"/>
        </w:rPr>
        <w:t>山东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省“中国电信奖学金·天翼奖”候选人信息汇总表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365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 w:bidi="ar"/>
        </w:rPr>
        <w:t>山东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372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>
            <w:pPr>
              <w:widowControl w:val="0"/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rPr>
          <w:rFonts w:ascii="方正楷体简体" w:eastAsia="方正楷体简体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5840" w:h="12240" w:orient="landscape"/>
      <w:pgMar w:top="1588" w:right="2098" w:bottom="1474" w:left="198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251305"/>
    <w:rsid w:val="3C605DF9"/>
    <w:rsid w:val="44025C03"/>
    <w:rsid w:val="63EB1747"/>
    <w:rsid w:val="A9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2019-12-09T21:39:00Z</dcterms:created>
  <dc:creator>Sang</dc:creator>
  <cp:lastModifiedBy>饼干和可乐</cp:lastModifiedBy>
  <cp:lastPrinted>2019-12-12T16:45:00Z</cp:lastPrinted>
  <dcterms:modified xsi:type="dcterms:W3CDTF">2019-12-13T02:44:07Z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