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b/>
          <w:bCs/>
          <w:color w:val="FF0000"/>
          <w:spacing w:val="-20"/>
          <w:kern w:val="36"/>
          <w:sz w:val="56"/>
          <w:szCs w:val="56"/>
        </w:rPr>
        <w:t>山东省大学生科技文化艺术节组委会</w:t>
      </w:r>
    </w:p>
    <w:p>
      <w:pPr>
        <w:spacing w:line="700" w:lineRule="exact"/>
        <w:jc w:val="center"/>
        <w:rPr>
          <w:rFonts w:eastAsia="方正小标宋简体"/>
          <w:bCs/>
          <w:color w:val="000000"/>
          <w:kern w:val="36"/>
          <w:sz w:val="44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194310</wp:posOffset>
                </wp:positionV>
                <wp:extent cx="5619750" cy="0"/>
                <wp:effectExtent l="0" t="0" r="19050" b="190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15pt;margin-top:15.3pt;height:0pt;width:442.5pt;z-index:251659264;mso-width-relative:page;mso-height-relative:page;" filled="f" stroked="t" coordsize="21600,21600" o:gfxdata="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NLOeC1wAAAAgBAAAPAAAAAAAA&#10;AAEAIAAAACIAAABkcnMvZG93bnJldi54bWxQSwECFAAUAAAACACHTuJAnKlJa9oBAABxAwAADgAA&#10;AAAAAAABACAAAAAmAQAAZHJzL2Uyb0RvYy54bWxQSwUGAAAAAAYABgBZAQAAcgUAAAAA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关于举</w:t>
      </w:r>
      <w:r>
        <w:rPr>
          <w:rFonts w:hint="eastAsia" w:ascii="方正小标宋简体" w:eastAsia="方正小标宋简体"/>
          <w:b/>
          <w:sz w:val="44"/>
          <w:szCs w:val="44"/>
        </w:rPr>
        <w:t>办“电信杯”第十</w:t>
      </w:r>
      <w:r>
        <w:rPr>
          <w:rFonts w:eastAsia="方正小标宋简体"/>
          <w:b/>
          <w:sz w:val="44"/>
          <w:szCs w:val="44"/>
        </w:rPr>
        <w:t>五届山东省大学生</w:t>
      </w:r>
    </w:p>
    <w:p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科技文化艺术节创未来职业生涯规划大赛的</w:t>
      </w:r>
    </w:p>
    <w:p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通  知</w:t>
      </w:r>
    </w:p>
    <w:p>
      <w:pPr>
        <w:widowControl/>
        <w:spacing w:line="576" w:lineRule="exact"/>
        <w:jc w:val="center"/>
        <w:rPr>
          <w:rFonts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各高等学校团委：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为全面贯彻党的十八大和十八届三中、四中、五中、六中全会精神，深入贯彻习近平总书记系列重要讲话精神，建设丰富多彩的校园文化，</w:t>
      </w:r>
      <w:r>
        <w:rPr>
          <w:rFonts w:eastAsia="仿宋_GB2312"/>
          <w:kern w:val="0"/>
          <w:sz w:val="32"/>
          <w:szCs w:val="32"/>
        </w:rPr>
        <w:t>传播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普及职业规划理念，引导我省大学生自觉树立正确的发展观、职业观，提高</w:t>
      </w:r>
      <w:r>
        <w:rPr>
          <w:rFonts w:eastAsia="仿宋_GB2312"/>
          <w:color w:val="000000"/>
          <w:sz w:val="32"/>
          <w:szCs w:val="32"/>
        </w:rPr>
        <w:t>我省</w:t>
      </w:r>
      <w:r>
        <w:rPr>
          <w:rFonts w:eastAsia="仿宋_GB2312"/>
          <w:kern w:val="0"/>
          <w:sz w:val="32"/>
          <w:szCs w:val="32"/>
        </w:rPr>
        <w:t>青年学生就业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创业素质与能力，</w:t>
      </w:r>
      <w:r>
        <w:rPr>
          <w:rFonts w:eastAsia="仿宋_GB2312"/>
          <w:color w:val="000000"/>
          <w:sz w:val="32"/>
          <w:szCs w:val="32"/>
        </w:rPr>
        <w:t>促进</w:t>
      </w:r>
      <w:r>
        <w:rPr>
          <w:rFonts w:hint="eastAsia" w:eastAsia="仿宋_GB2312"/>
          <w:color w:val="000000"/>
          <w:sz w:val="32"/>
          <w:szCs w:val="32"/>
        </w:rPr>
        <w:t>其</w:t>
      </w:r>
      <w:r>
        <w:rPr>
          <w:rFonts w:eastAsia="仿宋_GB2312"/>
          <w:color w:val="000000"/>
          <w:sz w:val="32"/>
          <w:szCs w:val="32"/>
        </w:rPr>
        <w:t>健康成长，以良好青春风貌向建团95周年和党的十九大献礼，</w:t>
      </w:r>
      <w:r>
        <w:rPr>
          <w:rFonts w:eastAsia="仿宋_GB2312"/>
          <w:kern w:val="0"/>
          <w:sz w:val="32"/>
          <w:szCs w:val="32"/>
        </w:rPr>
        <w:t>特举</w:t>
      </w:r>
      <w:r>
        <w:rPr>
          <w:rFonts w:hint="eastAsia" w:ascii="仿宋_GB2312" w:eastAsia="仿宋_GB2312"/>
          <w:kern w:val="0"/>
          <w:sz w:val="32"/>
          <w:szCs w:val="32"/>
        </w:rPr>
        <w:t>办“电信杯”第十</w:t>
      </w:r>
      <w:r>
        <w:rPr>
          <w:rFonts w:eastAsia="仿宋_GB2312"/>
          <w:kern w:val="0"/>
          <w:sz w:val="32"/>
          <w:szCs w:val="32"/>
        </w:rPr>
        <w:t>五届山东省大学生科技文化艺术</w:t>
      </w:r>
      <w:r>
        <w:rPr>
          <w:rFonts w:hint="eastAsia" w:ascii="仿宋_GB2312" w:eastAsia="仿宋_GB2312"/>
          <w:kern w:val="0"/>
          <w:sz w:val="32"/>
          <w:szCs w:val="32"/>
        </w:rPr>
        <w:t>节“创未来”职业</w:t>
      </w:r>
      <w:r>
        <w:rPr>
          <w:rFonts w:eastAsia="仿宋_GB2312"/>
          <w:kern w:val="0"/>
          <w:sz w:val="32"/>
          <w:szCs w:val="32"/>
        </w:rPr>
        <w:t>生涯规划大赛。现将有关事宜通知如下。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一、组织单位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主办单位：山东省大学生科技文化艺术节组委会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承办单位：共青团山东</w:t>
      </w:r>
      <w:r>
        <w:rPr>
          <w:rFonts w:eastAsia="仿宋_GB2312"/>
          <w:kern w:val="0"/>
          <w:sz w:val="32"/>
          <w:szCs w:val="32"/>
        </w:rPr>
        <w:t>财经大学委员会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二、比赛时间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2017年4月—6月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三、比赛地点</w:t>
      </w:r>
    </w:p>
    <w:p>
      <w:pPr>
        <w:widowControl/>
        <w:adjustRightInd w:val="0"/>
        <w:snapToGrid w:val="0"/>
        <w:spacing w:line="576" w:lineRule="exact"/>
        <w:ind w:firstLine="678" w:firstLineChars="212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山东财经大学燕山校区（济南市历下区二环东路7366号）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四、参赛对象</w:t>
      </w:r>
    </w:p>
    <w:p>
      <w:pPr>
        <w:widowControl/>
        <w:adjustRightInd w:val="0"/>
        <w:snapToGrid w:val="0"/>
        <w:spacing w:line="576" w:lineRule="exact"/>
        <w:ind w:firstLine="672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全省各高校（含普通高校、成人院校、民办高校）全日制在</w:t>
      </w:r>
      <w:r>
        <w:rPr>
          <w:rFonts w:eastAsia="仿宋_GB2312"/>
          <w:kern w:val="0"/>
          <w:sz w:val="32"/>
          <w:szCs w:val="32"/>
        </w:rPr>
        <w:t>校本、专科生及研究生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6" w:lineRule="exact"/>
        <w:ind w:firstLine="672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五、比赛安排</w:t>
      </w:r>
    </w:p>
    <w:p>
      <w:pPr>
        <w:spacing w:line="576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1．报名推荐阶段（</w:t>
      </w:r>
      <w:r>
        <w:rPr>
          <w:rFonts w:eastAsia="楷体_GB2312"/>
          <w:kern w:val="0"/>
          <w:sz w:val="32"/>
          <w:szCs w:val="32"/>
        </w:rPr>
        <w:t>4月28日—5月20日</w:t>
      </w:r>
      <w:r>
        <w:rPr>
          <w:rFonts w:eastAsia="楷体_GB2312"/>
          <w:color w:val="000000"/>
          <w:kern w:val="0"/>
          <w:sz w:val="32"/>
          <w:szCs w:val="32"/>
        </w:rPr>
        <w:t>）</w:t>
      </w:r>
    </w:p>
    <w:p>
      <w:pPr>
        <w:spacing w:line="576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由主办单位发布竞赛通知，各参赛高校进行校内宣传，组织学生报送</w:t>
      </w:r>
      <w:r>
        <w:rPr>
          <w:rFonts w:eastAsia="仿宋_GB2312"/>
          <w:kern w:val="0"/>
          <w:sz w:val="32"/>
          <w:szCs w:val="32"/>
        </w:rPr>
        <w:t>职业生涯规划书（撰写要求见附件2）</w:t>
      </w:r>
      <w:r>
        <w:rPr>
          <w:rFonts w:eastAsia="仿宋_GB2312"/>
          <w:color w:val="000000"/>
          <w:kern w:val="0"/>
          <w:sz w:val="32"/>
          <w:szCs w:val="32"/>
        </w:rPr>
        <w:t>，并进行校</w:t>
      </w:r>
      <w:r>
        <w:rPr>
          <w:rFonts w:hint="eastAsia" w:eastAsia="仿宋_GB2312"/>
          <w:color w:val="000000"/>
          <w:kern w:val="0"/>
          <w:sz w:val="32"/>
          <w:szCs w:val="32"/>
        </w:rPr>
        <w:t>级</w:t>
      </w:r>
      <w:r>
        <w:rPr>
          <w:rFonts w:eastAsia="仿宋_GB2312"/>
          <w:color w:val="000000"/>
          <w:kern w:val="0"/>
          <w:sz w:val="32"/>
          <w:szCs w:val="32"/>
        </w:rPr>
        <w:t>初选。</w:t>
      </w:r>
    </w:p>
    <w:p>
      <w:pPr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每所高校可推荐3—5</w:t>
      </w:r>
      <w:r>
        <w:rPr>
          <w:rFonts w:hint="eastAsia" w:eastAsia="仿宋_GB2312"/>
          <w:kern w:val="0"/>
          <w:sz w:val="32"/>
          <w:szCs w:val="32"/>
        </w:rPr>
        <w:t>件作品</w:t>
      </w:r>
      <w:r>
        <w:rPr>
          <w:rFonts w:eastAsia="仿宋_GB2312"/>
          <w:kern w:val="0"/>
          <w:sz w:val="32"/>
          <w:szCs w:val="32"/>
        </w:rPr>
        <w:t>参</w:t>
      </w:r>
      <w:r>
        <w:rPr>
          <w:rFonts w:hint="eastAsia" w:eastAsia="仿宋_GB2312"/>
          <w:kern w:val="0"/>
          <w:sz w:val="32"/>
          <w:szCs w:val="32"/>
        </w:rPr>
        <w:t>加</w:t>
      </w:r>
      <w:r>
        <w:rPr>
          <w:rFonts w:eastAsia="仿宋_GB2312"/>
          <w:kern w:val="0"/>
          <w:sz w:val="32"/>
          <w:szCs w:val="32"/>
        </w:rPr>
        <w:t>省赛，由参赛高校填写作品汇总表（见附件1）</w:t>
      </w:r>
      <w:r>
        <w:rPr>
          <w:rFonts w:hint="eastAsia" w:eastAsia="仿宋_GB2312"/>
          <w:kern w:val="0"/>
          <w:sz w:val="32"/>
          <w:szCs w:val="32"/>
        </w:rPr>
        <w:t>；</w:t>
      </w:r>
      <w:r>
        <w:rPr>
          <w:rFonts w:eastAsia="仿宋_GB2312"/>
          <w:kern w:val="0"/>
          <w:sz w:val="32"/>
          <w:szCs w:val="32"/>
        </w:rPr>
        <w:t>每件</w:t>
      </w:r>
      <w:r>
        <w:rPr>
          <w:rFonts w:hint="eastAsia" w:eastAsia="仿宋_GB2312"/>
          <w:kern w:val="0"/>
          <w:sz w:val="32"/>
          <w:szCs w:val="32"/>
        </w:rPr>
        <w:t>参赛</w:t>
      </w:r>
      <w:r>
        <w:rPr>
          <w:rFonts w:eastAsia="仿宋_GB2312"/>
          <w:kern w:val="0"/>
          <w:sz w:val="32"/>
          <w:szCs w:val="32"/>
        </w:rPr>
        <w:t>作品</w:t>
      </w:r>
      <w:r>
        <w:rPr>
          <w:rFonts w:hint="eastAsia" w:eastAsia="仿宋_GB2312"/>
          <w:kern w:val="0"/>
          <w:sz w:val="32"/>
          <w:szCs w:val="32"/>
        </w:rPr>
        <w:t>皆需放入</w:t>
      </w:r>
      <w:r>
        <w:rPr>
          <w:rFonts w:eastAsia="仿宋_GB2312"/>
          <w:kern w:val="0"/>
          <w:sz w:val="32"/>
          <w:szCs w:val="32"/>
        </w:rPr>
        <w:t>以</w:t>
      </w:r>
      <w:r>
        <w:rPr>
          <w:rFonts w:hint="eastAsia" w:ascii="仿宋_GB2312" w:eastAsia="仿宋_GB2312"/>
          <w:kern w:val="0"/>
          <w:sz w:val="32"/>
          <w:szCs w:val="32"/>
        </w:rPr>
        <w:t>“学校名称</w:t>
      </w:r>
      <w:r>
        <w:rPr>
          <w:rFonts w:ascii="仿宋_GB2312" w:eastAsia="仿宋_GB2312"/>
          <w:kern w:val="0"/>
          <w:sz w:val="32"/>
          <w:szCs w:val="32"/>
        </w:rPr>
        <w:t>+</w:t>
      </w:r>
      <w:r>
        <w:rPr>
          <w:rFonts w:hint="eastAsia" w:ascii="仿宋_GB2312" w:eastAsia="仿宋_GB2312"/>
          <w:kern w:val="0"/>
          <w:sz w:val="32"/>
          <w:szCs w:val="32"/>
        </w:rPr>
        <w:t>作者姓名”命名</w:t>
      </w:r>
      <w:r>
        <w:rPr>
          <w:rFonts w:eastAsia="仿宋_GB2312"/>
          <w:kern w:val="0"/>
          <w:sz w:val="32"/>
          <w:szCs w:val="32"/>
        </w:rPr>
        <w:t>的文件夹</w:t>
      </w:r>
      <w:r>
        <w:rPr>
          <w:rFonts w:hint="eastAsia" w:eastAsia="仿宋_GB2312"/>
          <w:kern w:val="0"/>
          <w:sz w:val="32"/>
          <w:szCs w:val="32"/>
        </w:rPr>
        <w:t>内，</w:t>
      </w:r>
      <w:r>
        <w:rPr>
          <w:rFonts w:eastAsia="仿宋_GB2312"/>
          <w:kern w:val="0"/>
          <w:sz w:val="32"/>
          <w:szCs w:val="32"/>
        </w:rPr>
        <w:t>由各高校汇总</w:t>
      </w:r>
      <w:r>
        <w:rPr>
          <w:rFonts w:hint="eastAsia" w:eastAsia="仿宋_GB2312"/>
          <w:kern w:val="0"/>
          <w:sz w:val="32"/>
          <w:szCs w:val="32"/>
        </w:rPr>
        <w:t>后连同作品</w:t>
      </w:r>
      <w:r>
        <w:rPr>
          <w:rFonts w:eastAsia="仿宋_GB2312"/>
          <w:kern w:val="0"/>
          <w:sz w:val="32"/>
          <w:szCs w:val="32"/>
        </w:rPr>
        <w:t>汇总表</w:t>
      </w:r>
      <w:r>
        <w:rPr>
          <w:rFonts w:hint="eastAsia" w:eastAsia="仿宋_GB2312"/>
          <w:kern w:val="0"/>
          <w:sz w:val="32"/>
          <w:szCs w:val="32"/>
        </w:rPr>
        <w:t>一起</w:t>
      </w:r>
      <w:r>
        <w:rPr>
          <w:rFonts w:eastAsia="仿宋_GB2312"/>
          <w:kern w:val="0"/>
          <w:sz w:val="32"/>
          <w:szCs w:val="32"/>
        </w:rPr>
        <w:t>打包为</w:t>
      </w:r>
      <w:r>
        <w:rPr>
          <w:rFonts w:hint="eastAsia" w:ascii="仿宋_GB2312" w:eastAsia="仿宋_GB2312"/>
          <w:kern w:val="0"/>
          <w:sz w:val="32"/>
          <w:szCs w:val="32"/>
        </w:rPr>
        <w:t>以“学校名称+创未来”命名</w:t>
      </w:r>
      <w:r>
        <w:rPr>
          <w:rFonts w:eastAsia="仿宋_GB2312"/>
          <w:kern w:val="0"/>
          <w:sz w:val="32"/>
          <w:szCs w:val="32"/>
        </w:rPr>
        <w:t>的压缩文件，在5月20日前发至指定邮箱。</w:t>
      </w:r>
    </w:p>
    <w:p>
      <w:pPr>
        <w:spacing w:line="576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2．初赛阶段（5月30日—6月10日）</w:t>
      </w:r>
    </w:p>
    <w:p>
      <w:pPr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承办单位将组织专家对参赛作品进行评审，确定决赛入围名单，并在承办单位网站予以公布。</w:t>
      </w:r>
    </w:p>
    <w:p>
      <w:pPr>
        <w:spacing w:line="576" w:lineRule="exact"/>
        <w:ind w:firstLine="640" w:firstLineChars="200"/>
        <w:rPr>
          <w:rFonts w:eastAsia="楷体_GB2312"/>
          <w:color w:val="000000"/>
          <w:kern w:val="0"/>
          <w:sz w:val="32"/>
          <w:szCs w:val="32"/>
        </w:rPr>
      </w:pPr>
      <w:r>
        <w:rPr>
          <w:rFonts w:eastAsia="楷体_GB2312"/>
          <w:color w:val="000000"/>
          <w:kern w:val="0"/>
          <w:sz w:val="32"/>
          <w:szCs w:val="32"/>
        </w:rPr>
        <w:t>3．决赛阶段（6月17</w:t>
      </w:r>
      <w:r>
        <w:rPr>
          <w:rFonts w:hint="eastAsia" w:eastAsia="楷体_GB2312"/>
          <w:color w:val="000000"/>
          <w:kern w:val="0"/>
          <w:sz w:val="32"/>
          <w:szCs w:val="32"/>
        </w:rPr>
        <w:t>日</w:t>
      </w:r>
      <w:r>
        <w:rPr>
          <w:rFonts w:eastAsia="楷体_GB2312"/>
          <w:color w:val="000000"/>
          <w:kern w:val="0"/>
          <w:sz w:val="32"/>
          <w:szCs w:val="32"/>
        </w:rPr>
        <w:t>—6</w:t>
      </w:r>
      <w:r>
        <w:rPr>
          <w:rFonts w:hint="eastAsia" w:eastAsia="楷体_GB2312"/>
          <w:color w:val="000000"/>
          <w:kern w:val="0"/>
          <w:sz w:val="32"/>
          <w:szCs w:val="32"/>
        </w:rPr>
        <w:t>月</w:t>
      </w:r>
      <w:r>
        <w:rPr>
          <w:rFonts w:eastAsia="楷体_GB2312"/>
          <w:color w:val="000000"/>
          <w:kern w:val="0"/>
          <w:sz w:val="32"/>
          <w:szCs w:val="32"/>
        </w:rPr>
        <w:t>18日）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决赛分为两个环节，第一环节是职业生涯规划演讲，需配合PPT展示，限时5分钟；第二环节是职业角色模拟，表现形式不限（可结合微</w:t>
      </w:r>
      <w:r>
        <w:rPr>
          <w:rFonts w:hint="eastAsia" w:eastAsia="仿宋_GB2312"/>
          <w:color w:val="000000"/>
          <w:kern w:val="0"/>
          <w:sz w:val="32"/>
          <w:szCs w:val="32"/>
        </w:rPr>
        <w:t>视频</w:t>
      </w:r>
      <w:r>
        <w:rPr>
          <w:rFonts w:eastAsia="仿宋_GB2312"/>
          <w:color w:val="000000"/>
          <w:kern w:val="0"/>
          <w:sz w:val="32"/>
          <w:szCs w:val="32"/>
        </w:rPr>
        <w:t>），限时8分钟。</w:t>
      </w:r>
    </w:p>
    <w:p>
      <w:pPr>
        <w:spacing w:line="576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参赛选手抽签</w:t>
      </w:r>
      <w:r>
        <w:rPr>
          <w:rFonts w:hint="eastAsia" w:eastAsia="仿宋_GB2312"/>
          <w:color w:val="000000"/>
          <w:kern w:val="0"/>
          <w:sz w:val="32"/>
          <w:szCs w:val="32"/>
        </w:rPr>
        <w:t>确</w:t>
      </w:r>
      <w:r>
        <w:rPr>
          <w:rFonts w:eastAsia="仿宋_GB2312"/>
          <w:color w:val="000000"/>
          <w:kern w:val="0"/>
          <w:sz w:val="32"/>
          <w:szCs w:val="32"/>
        </w:rPr>
        <w:t>定出场顺序</w:t>
      </w:r>
      <w:r>
        <w:rPr>
          <w:rFonts w:hint="eastAsia" w:eastAsia="仿宋_GB2312"/>
          <w:color w:val="000000"/>
          <w:kern w:val="0"/>
          <w:sz w:val="32"/>
          <w:szCs w:val="32"/>
        </w:rPr>
        <w:t>，决赛</w:t>
      </w:r>
      <w:r>
        <w:rPr>
          <w:rFonts w:eastAsia="仿宋_GB2312"/>
          <w:kern w:val="0"/>
          <w:sz w:val="32"/>
          <w:szCs w:val="32"/>
        </w:rPr>
        <w:t>详细</w:t>
      </w:r>
      <w:r>
        <w:rPr>
          <w:rFonts w:hint="eastAsia" w:eastAsia="仿宋_GB2312"/>
          <w:kern w:val="0"/>
          <w:sz w:val="32"/>
          <w:szCs w:val="32"/>
        </w:rPr>
        <w:t>说明</w:t>
      </w:r>
      <w:r>
        <w:rPr>
          <w:rFonts w:eastAsia="仿宋_GB2312"/>
          <w:kern w:val="0"/>
          <w:sz w:val="32"/>
          <w:szCs w:val="32"/>
        </w:rPr>
        <w:t>请参照</w:t>
      </w:r>
      <w:r>
        <w:rPr>
          <w:rFonts w:hint="eastAsia" w:eastAsia="仿宋_GB2312"/>
          <w:kern w:val="0"/>
          <w:sz w:val="32"/>
          <w:szCs w:val="32"/>
        </w:rPr>
        <w:t>大赛</w:t>
      </w:r>
      <w:r>
        <w:rPr>
          <w:rFonts w:eastAsia="仿宋_GB2312"/>
          <w:kern w:val="0"/>
          <w:sz w:val="32"/>
          <w:szCs w:val="32"/>
        </w:rPr>
        <w:t>决赛</w:t>
      </w:r>
      <w:r>
        <w:rPr>
          <w:rFonts w:hint="eastAsia" w:eastAsia="仿宋_GB2312"/>
          <w:kern w:val="0"/>
          <w:sz w:val="32"/>
          <w:szCs w:val="32"/>
        </w:rPr>
        <w:t>要求</w:t>
      </w:r>
      <w:r>
        <w:rPr>
          <w:rFonts w:eastAsia="仿宋_GB2312"/>
          <w:kern w:val="0"/>
          <w:sz w:val="32"/>
          <w:szCs w:val="32"/>
        </w:rPr>
        <w:t>（见附件3）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具体</w:t>
      </w:r>
      <w:r>
        <w:rPr>
          <w:rFonts w:hint="eastAsia" w:eastAsia="仿宋_GB2312"/>
          <w:color w:val="000000"/>
          <w:kern w:val="0"/>
          <w:sz w:val="32"/>
          <w:szCs w:val="32"/>
        </w:rPr>
        <w:t>地点</w:t>
      </w:r>
      <w:r>
        <w:rPr>
          <w:rFonts w:eastAsia="仿宋_GB2312"/>
          <w:color w:val="000000"/>
          <w:kern w:val="0"/>
          <w:sz w:val="32"/>
          <w:szCs w:val="32"/>
        </w:rPr>
        <w:t>另行通知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576" w:lineRule="exact"/>
        <w:ind w:firstLine="672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六、奖项设置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大</w:t>
      </w:r>
      <w:r>
        <w:rPr>
          <w:rFonts w:eastAsia="仿宋_GB2312"/>
          <w:kern w:val="0"/>
          <w:sz w:val="32"/>
          <w:szCs w:val="32"/>
        </w:rPr>
        <w:t>赛设置一、二、三等奖及优秀奖。同时</w:t>
      </w:r>
      <w:r>
        <w:rPr>
          <w:rFonts w:hint="eastAsia" w:eastAsia="仿宋_GB2312"/>
          <w:kern w:val="0"/>
          <w:sz w:val="32"/>
          <w:szCs w:val="32"/>
        </w:rPr>
        <w:t>，根据</w:t>
      </w:r>
      <w:r>
        <w:rPr>
          <w:rFonts w:eastAsia="仿宋_GB2312"/>
          <w:kern w:val="0"/>
          <w:sz w:val="32"/>
          <w:szCs w:val="32"/>
        </w:rPr>
        <w:t>参赛</w:t>
      </w:r>
      <w:r>
        <w:rPr>
          <w:rFonts w:hint="eastAsia" w:eastAsia="仿宋_GB2312"/>
          <w:kern w:val="0"/>
          <w:sz w:val="32"/>
          <w:szCs w:val="32"/>
        </w:rPr>
        <w:t>高</w:t>
      </w:r>
      <w:r>
        <w:rPr>
          <w:rFonts w:eastAsia="仿宋_GB2312"/>
          <w:kern w:val="0"/>
          <w:sz w:val="32"/>
          <w:szCs w:val="32"/>
        </w:rPr>
        <w:t>校的组织</w:t>
      </w:r>
      <w:r>
        <w:rPr>
          <w:rFonts w:hint="eastAsia" w:eastAsia="仿宋_GB2312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获奖情况等，将评选出优秀组织奖</w:t>
      </w:r>
      <w:r>
        <w:rPr>
          <w:rFonts w:hint="eastAsia" w:eastAsia="仿宋_GB2312"/>
          <w:kern w:val="0"/>
          <w:sz w:val="32"/>
          <w:szCs w:val="32"/>
        </w:rPr>
        <w:t>和</w:t>
      </w:r>
      <w:r>
        <w:rPr>
          <w:rFonts w:eastAsia="仿宋_GB2312"/>
          <w:kern w:val="0"/>
          <w:sz w:val="32"/>
          <w:szCs w:val="32"/>
        </w:rPr>
        <w:t>优秀指导教师奖。</w:t>
      </w:r>
    </w:p>
    <w:p>
      <w:pPr>
        <w:widowControl/>
        <w:adjustRightInd w:val="0"/>
        <w:snapToGrid w:val="0"/>
        <w:spacing w:line="576" w:lineRule="exact"/>
        <w:ind w:firstLine="672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七、其他事项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1．希望各高校</w:t>
      </w:r>
      <w:r>
        <w:rPr>
          <w:rFonts w:hint="eastAsia" w:eastAsia="仿宋_GB2312"/>
          <w:kern w:val="0"/>
          <w:sz w:val="32"/>
          <w:szCs w:val="32"/>
          <w:lang w:val="zh-CN"/>
        </w:rPr>
        <w:t>团委</w:t>
      </w:r>
      <w:r>
        <w:rPr>
          <w:rFonts w:eastAsia="仿宋_GB2312"/>
          <w:kern w:val="0"/>
          <w:sz w:val="32"/>
          <w:szCs w:val="32"/>
          <w:lang w:val="zh-CN"/>
        </w:rPr>
        <w:t>大力宣传，积极组织学生参与到本次</w:t>
      </w:r>
      <w:r>
        <w:rPr>
          <w:rFonts w:hint="eastAsia" w:eastAsia="仿宋_GB2312"/>
          <w:kern w:val="0"/>
          <w:sz w:val="32"/>
          <w:szCs w:val="32"/>
          <w:lang w:val="zh-CN"/>
        </w:rPr>
        <w:t>大</w:t>
      </w:r>
      <w:r>
        <w:rPr>
          <w:rFonts w:eastAsia="仿宋_GB2312"/>
          <w:kern w:val="0"/>
          <w:sz w:val="32"/>
          <w:szCs w:val="32"/>
          <w:lang w:val="zh-CN"/>
        </w:rPr>
        <w:t>赛中来。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2．各参赛高校请通过</w:t>
      </w:r>
      <w:r>
        <w:rPr>
          <w:rFonts w:hint="eastAsia" w:eastAsia="仿宋_GB2312"/>
          <w:kern w:val="0"/>
          <w:sz w:val="32"/>
          <w:szCs w:val="32"/>
          <w:lang w:val="zh-CN"/>
        </w:rPr>
        <w:t>微信</w:t>
      </w:r>
      <w:r>
        <w:rPr>
          <w:rFonts w:eastAsia="仿宋_GB2312"/>
          <w:kern w:val="0"/>
          <w:sz w:val="32"/>
          <w:szCs w:val="32"/>
          <w:lang w:val="zh-CN"/>
        </w:rPr>
        <w:t>、微博</w:t>
      </w:r>
      <w:r>
        <w:rPr>
          <w:rFonts w:hint="eastAsia" w:eastAsia="仿宋_GB2312"/>
          <w:kern w:val="0"/>
          <w:sz w:val="32"/>
          <w:szCs w:val="32"/>
          <w:lang w:val="zh-CN"/>
        </w:rPr>
        <w:t>等及时</w:t>
      </w:r>
      <w:r>
        <w:rPr>
          <w:rFonts w:eastAsia="仿宋_GB2312"/>
          <w:kern w:val="0"/>
          <w:sz w:val="32"/>
          <w:szCs w:val="32"/>
          <w:lang w:val="zh-CN"/>
        </w:rPr>
        <w:t>发布、转播</w:t>
      </w:r>
      <w:r>
        <w:rPr>
          <w:rFonts w:hint="eastAsia" w:eastAsia="仿宋_GB2312"/>
          <w:kern w:val="0"/>
          <w:sz w:val="32"/>
          <w:szCs w:val="32"/>
          <w:lang w:val="zh-CN"/>
        </w:rPr>
        <w:t>大赛进程</w:t>
      </w:r>
      <w:r>
        <w:rPr>
          <w:rFonts w:eastAsia="仿宋_GB2312"/>
          <w:kern w:val="0"/>
          <w:sz w:val="32"/>
          <w:szCs w:val="32"/>
          <w:lang w:val="zh-CN"/>
        </w:rPr>
        <w:t>，并组织学生参与线上互动。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3．参赛高校需</w:t>
      </w:r>
      <w:r>
        <w:rPr>
          <w:rFonts w:hint="eastAsia" w:eastAsia="仿宋_GB2312"/>
          <w:kern w:val="0"/>
          <w:sz w:val="32"/>
          <w:szCs w:val="32"/>
          <w:lang w:val="zh-CN"/>
        </w:rPr>
        <w:t>认真</w:t>
      </w:r>
      <w:r>
        <w:rPr>
          <w:rFonts w:eastAsia="仿宋_GB2312"/>
          <w:kern w:val="0"/>
          <w:sz w:val="32"/>
          <w:szCs w:val="32"/>
          <w:lang w:val="zh-CN"/>
        </w:rPr>
        <w:t>填写作品汇总表，填写不完整或填写错误将自动视为作废，</w:t>
      </w:r>
      <w:r>
        <w:rPr>
          <w:rFonts w:hint="eastAsia" w:eastAsia="仿宋_GB2312"/>
          <w:kern w:val="0"/>
          <w:sz w:val="32"/>
          <w:szCs w:val="32"/>
          <w:lang w:val="zh-CN"/>
        </w:rPr>
        <w:t>后果</w:t>
      </w:r>
      <w:r>
        <w:rPr>
          <w:rFonts w:eastAsia="仿宋_GB2312"/>
          <w:kern w:val="0"/>
          <w:sz w:val="32"/>
          <w:szCs w:val="32"/>
          <w:lang w:val="zh-CN"/>
        </w:rPr>
        <w:t>由参赛高校自行负责。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4．参赛者必须是参赛作品的原创作者，并保证其拥有该作品的著作权。主办方</w:t>
      </w:r>
      <w:r>
        <w:rPr>
          <w:rFonts w:hint="eastAsia" w:eastAsia="仿宋_GB2312"/>
          <w:kern w:val="0"/>
          <w:sz w:val="32"/>
          <w:szCs w:val="32"/>
          <w:lang w:val="zh-CN"/>
        </w:rPr>
        <w:t>和</w:t>
      </w:r>
      <w:r>
        <w:rPr>
          <w:rFonts w:eastAsia="仿宋_GB2312"/>
          <w:kern w:val="0"/>
          <w:sz w:val="32"/>
          <w:szCs w:val="32"/>
          <w:lang w:val="zh-CN"/>
        </w:rPr>
        <w:t>承办方不承担因参赛作品所致的包括但不限于名誉权、隐私权、著作权等纠纷而产生的法律责任。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5</w:t>
      </w:r>
      <w:r>
        <w:rPr>
          <w:rFonts w:hint="eastAsia" w:eastAsia="仿宋_GB2312"/>
          <w:kern w:val="0"/>
          <w:sz w:val="32"/>
          <w:szCs w:val="32"/>
          <w:lang w:val="zh-CN"/>
        </w:rPr>
        <w:t>．</w:t>
      </w:r>
      <w:r>
        <w:rPr>
          <w:rFonts w:eastAsia="仿宋_GB2312"/>
          <w:kern w:val="0"/>
          <w:sz w:val="32"/>
          <w:szCs w:val="32"/>
          <w:lang w:val="zh-CN"/>
        </w:rPr>
        <w:t>若发现参赛人员有抄袭、盗用、作弊或</w:t>
      </w:r>
      <w:r>
        <w:rPr>
          <w:rFonts w:hint="eastAsia" w:eastAsia="仿宋_GB2312"/>
          <w:kern w:val="0"/>
          <w:sz w:val="32"/>
          <w:szCs w:val="32"/>
          <w:lang w:val="zh-CN"/>
        </w:rPr>
        <w:t>其他</w:t>
      </w:r>
      <w:r>
        <w:rPr>
          <w:rFonts w:eastAsia="仿宋_GB2312"/>
          <w:kern w:val="0"/>
          <w:sz w:val="32"/>
          <w:szCs w:val="32"/>
          <w:lang w:val="zh-CN"/>
        </w:rPr>
        <w:t>不符合规定的</w:t>
      </w:r>
      <w:r>
        <w:rPr>
          <w:rFonts w:hint="eastAsia" w:eastAsia="仿宋_GB2312"/>
          <w:kern w:val="0"/>
          <w:sz w:val="32"/>
          <w:szCs w:val="32"/>
          <w:lang w:val="zh-CN"/>
        </w:rPr>
        <w:t>情形</w:t>
      </w:r>
      <w:r>
        <w:rPr>
          <w:rFonts w:eastAsia="仿宋_GB2312"/>
          <w:kern w:val="0"/>
          <w:sz w:val="32"/>
          <w:szCs w:val="32"/>
          <w:lang w:val="zh-CN"/>
        </w:rPr>
        <w:t>，即予取消其参赛资格</w:t>
      </w:r>
      <w:r>
        <w:rPr>
          <w:rFonts w:hint="eastAsia" w:eastAsia="仿宋_GB2312"/>
          <w:kern w:val="0"/>
          <w:sz w:val="32"/>
          <w:szCs w:val="32"/>
          <w:lang w:val="zh-CN"/>
        </w:rPr>
        <w:t>，</w:t>
      </w:r>
      <w:r>
        <w:rPr>
          <w:rFonts w:eastAsia="仿宋_GB2312"/>
          <w:kern w:val="0"/>
          <w:sz w:val="32"/>
          <w:szCs w:val="32"/>
          <w:lang w:val="zh-CN"/>
        </w:rPr>
        <w:t>追回奖励，一切法律责任由参赛者自行</w:t>
      </w:r>
      <w:r>
        <w:rPr>
          <w:rFonts w:hint="eastAsia" w:eastAsia="仿宋_GB2312"/>
          <w:kern w:val="0"/>
          <w:sz w:val="32"/>
          <w:szCs w:val="32"/>
          <w:lang w:val="zh-CN"/>
        </w:rPr>
        <w:t>承担</w:t>
      </w:r>
      <w:r>
        <w:rPr>
          <w:rFonts w:eastAsia="仿宋_GB2312"/>
          <w:kern w:val="0"/>
          <w:sz w:val="32"/>
          <w:szCs w:val="32"/>
          <w:lang w:val="zh-CN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 xml:space="preserve">． </w:t>
      </w:r>
      <w:r>
        <w:rPr>
          <w:rFonts w:eastAsia="仿宋_GB2312"/>
          <w:sz w:val="32"/>
          <w:szCs w:val="32"/>
        </w:rPr>
        <w:t>对于入围</w:t>
      </w:r>
      <w:r>
        <w:rPr>
          <w:rFonts w:hint="eastAsia" w:eastAsia="仿宋_GB2312"/>
          <w:sz w:val="32"/>
          <w:szCs w:val="32"/>
        </w:rPr>
        <w:t>决赛</w:t>
      </w:r>
      <w:r>
        <w:rPr>
          <w:rFonts w:eastAsia="仿宋_GB2312"/>
          <w:sz w:val="32"/>
          <w:szCs w:val="32"/>
        </w:rPr>
        <w:t>作品，</w:t>
      </w:r>
      <w:r>
        <w:rPr>
          <w:rFonts w:hint="eastAsia" w:eastAsia="仿宋_GB2312"/>
          <w:sz w:val="32"/>
          <w:szCs w:val="32"/>
        </w:rPr>
        <w:t>除</w:t>
      </w:r>
      <w:r>
        <w:rPr>
          <w:rFonts w:eastAsia="仿宋_GB2312"/>
          <w:sz w:val="32"/>
          <w:szCs w:val="32"/>
        </w:rPr>
        <w:t>参赛方在作品汇总表中有特别申明外，组委会有权无偿在媒体上展示、展播、结集出版或用于宣传、文化交流等相关的公益性活动。</w:t>
      </w:r>
    </w:p>
    <w:p>
      <w:pPr>
        <w:widowControl/>
        <w:adjustRightInd w:val="0"/>
        <w:snapToGrid w:val="0"/>
        <w:spacing w:line="576" w:lineRule="exac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仿宋_GB2312"/>
          <w:kern w:val="0"/>
          <w:sz w:val="32"/>
          <w:szCs w:val="32"/>
          <w:lang w:val="zh-CN"/>
        </w:rPr>
      </w:pPr>
      <w:r>
        <w:rPr>
          <w:rFonts w:eastAsia="仿宋_GB2312"/>
          <w:kern w:val="0"/>
          <w:sz w:val="32"/>
          <w:szCs w:val="32"/>
          <w:lang w:val="zh-CN"/>
        </w:rPr>
        <w:t>联 系 人：甘</w:t>
      </w:r>
      <w:r>
        <w:rPr>
          <w:rFonts w:hint="eastAsia" w:eastAsia="仿宋_GB2312"/>
          <w:kern w:val="0"/>
          <w:sz w:val="32"/>
          <w:szCs w:val="32"/>
          <w:lang w:val="zh-CN"/>
        </w:rPr>
        <w:t xml:space="preserve">  </w:t>
      </w:r>
      <w:r>
        <w:rPr>
          <w:rFonts w:eastAsia="仿宋_GB2312"/>
          <w:kern w:val="0"/>
          <w:sz w:val="32"/>
          <w:szCs w:val="32"/>
          <w:lang w:val="zh-CN"/>
        </w:rPr>
        <w:t>超</w:t>
      </w:r>
    </w:p>
    <w:p>
      <w:pPr>
        <w:widowControl/>
        <w:adjustRightInd w:val="0"/>
        <w:snapToGrid w:val="0"/>
        <w:spacing w:line="576" w:lineRule="exact"/>
        <w:rPr>
          <w:rFonts w:eastAsia="仿宋_GB2312"/>
          <w:kern w:val="0"/>
          <w:sz w:val="32"/>
          <w:szCs w:val="32"/>
          <w:lang w:val="zh-CN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  <w:r>
        <w:rPr>
          <w:rFonts w:eastAsia="仿宋_GB2312"/>
          <w:bCs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-768350</wp:posOffset>
            </wp:positionH>
            <wp:positionV relativeFrom="paragraph">
              <wp:posOffset>-2119630</wp:posOffset>
            </wp:positionV>
            <wp:extent cx="7358380" cy="132270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400" cy="1322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hint="eastAsia" w:eastAsia="黑体"/>
          <w:bCs/>
          <w:kern w:val="0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黑体"/>
          <w:bCs/>
          <w:kern w:val="0"/>
          <w:sz w:val="32"/>
          <w:szCs w:val="32"/>
          <w:lang w:val="zh-CN"/>
        </w:rPr>
      </w:pPr>
      <w:r>
        <w:rPr>
          <w:rFonts w:eastAsia="黑体"/>
          <w:bCs/>
          <w:kern w:val="0"/>
          <w:sz w:val="32"/>
          <w:szCs w:val="32"/>
          <w:lang w:val="zh-CN"/>
        </w:rPr>
        <w:t>附件1</w:t>
      </w:r>
    </w:p>
    <w:p>
      <w:pPr>
        <w:widowControl/>
        <w:adjustRightInd w:val="0"/>
        <w:snapToGrid w:val="0"/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zh-CN"/>
        </w:rPr>
        <w:t>“电信杯”第</w:t>
      </w:r>
      <w:r>
        <w:rPr>
          <w:rFonts w:eastAsia="方正小标宋简体"/>
          <w:kern w:val="0"/>
          <w:sz w:val="36"/>
          <w:szCs w:val="36"/>
          <w:lang w:val="zh-CN"/>
        </w:rPr>
        <w:t>十五届山东省大学生科技文化艺术节</w:t>
      </w:r>
    </w:p>
    <w:p>
      <w:pPr>
        <w:widowControl/>
        <w:adjustRightInd w:val="0"/>
        <w:snapToGrid w:val="0"/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eastAsia="方正小标宋简体"/>
          <w:kern w:val="0"/>
          <w:sz w:val="36"/>
          <w:szCs w:val="36"/>
          <w:lang w:val="zh-CN"/>
        </w:rPr>
        <w:t>创未来职业生涯规划大赛作品汇总表</w:t>
      </w:r>
    </w:p>
    <w:p>
      <w:pPr>
        <w:widowControl/>
        <w:spacing w:line="700" w:lineRule="exact"/>
        <w:jc w:val="center"/>
        <w:rPr>
          <w:rFonts w:eastAsia="方正小标宋简体"/>
          <w:sz w:val="44"/>
          <w:szCs w:val="44"/>
          <w:lang w:val="zh-CN"/>
        </w:rPr>
      </w:pPr>
    </w:p>
    <w:p>
      <w:pPr>
        <w:widowControl/>
        <w:spacing w:line="576" w:lineRule="exact"/>
        <w:rPr>
          <w:rFonts w:eastAsia="黑体"/>
          <w:sz w:val="30"/>
          <w:szCs w:val="30"/>
          <w:lang w:val="zh-CN"/>
        </w:rPr>
      </w:pPr>
      <w:r>
        <w:rPr>
          <w:rFonts w:eastAsia="黑体"/>
          <w:sz w:val="30"/>
          <w:szCs w:val="30"/>
          <w:lang w:val="zh-CN"/>
        </w:rPr>
        <w:t>学校</w:t>
      </w:r>
      <w:r>
        <w:rPr>
          <w:rFonts w:hint="eastAsia" w:eastAsia="黑体"/>
          <w:sz w:val="30"/>
          <w:szCs w:val="30"/>
          <w:lang w:val="zh-CN"/>
        </w:rPr>
        <w:t>团委</w:t>
      </w:r>
      <w:r>
        <w:rPr>
          <w:rFonts w:eastAsia="黑体"/>
          <w:sz w:val="30"/>
          <w:szCs w:val="30"/>
          <w:lang w:val="zh-CN"/>
        </w:rPr>
        <w:t>盖章：</w:t>
      </w:r>
    </w:p>
    <w:tbl>
      <w:tblPr>
        <w:tblStyle w:val="6"/>
        <w:tblpPr w:leftFromText="180" w:rightFromText="180" w:vertAnchor="text" w:horzAnchor="margin" w:tblpY="36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843"/>
        <w:gridCol w:w="1559"/>
        <w:gridCol w:w="1559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hint="eastAsia" w:eastAsia="黑体"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eastAsia="黑体"/>
                <w:sz w:val="30"/>
                <w:szCs w:val="30"/>
                <w:lang w:val="zh-CN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eastAsia="黑体"/>
                <w:sz w:val="30"/>
                <w:szCs w:val="30"/>
                <w:lang w:val="zh-CN"/>
              </w:rPr>
              <w:t>作品名称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eastAsia="黑体"/>
                <w:sz w:val="30"/>
                <w:szCs w:val="30"/>
                <w:lang w:val="zh-CN"/>
              </w:rPr>
              <w:t>联系电话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eastAsia="黑体"/>
                <w:sz w:val="30"/>
                <w:szCs w:val="30"/>
                <w:lang w:val="zh-CN"/>
              </w:rPr>
              <w:t>电子邮箱</w:t>
            </w: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eastAsia="黑体"/>
                <w:sz w:val="30"/>
                <w:szCs w:val="30"/>
                <w:lang w:val="zh-CN"/>
              </w:rPr>
              <w:t>指导教师</w:t>
            </w: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eastAsia="黑体"/>
                <w:sz w:val="30"/>
                <w:szCs w:val="30"/>
                <w:lang w:val="zh-CN"/>
              </w:rPr>
            </w:pPr>
            <w:r>
              <w:rPr>
                <w:rFonts w:eastAsia="黑体"/>
                <w:sz w:val="30"/>
                <w:szCs w:val="30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widowControl/>
              <w:spacing w:line="576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</w:tbl>
    <w:p>
      <w:pPr>
        <w:widowControl/>
        <w:spacing w:line="576" w:lineRule="exact"/>
        <w:rPr>
          <w:rFonts w:eastAsia="仿宋_GB2312"/>
          <w:sz w:val="30"/>
          <w:szCs w:val="30"/>
          <w:lang w:val="zh-CN"/>
        </w:rPr>
      </w:pPr>
    </w:p>
    <w:p>
      <w:pPr>
        <w:widowControl/>
        <w:spacing w:line="576" w:lineRule="exact"/>
        <w:rPr>
          <w:rFonts w:eastAsia="仿宋_GB2312"/>
          <w:sz w:val="30"/>
          <w:szCs w:val="30"/>
          <w:lang w:val="zh-CN"/>
        </w:rPr>
      </w:pPr>
    </w:p>
    <w:p>
      <w:pPr>
        <w:widowControl/>
        <w:spacing w:line="576" w:lineRule="exact"/>
        <w:rPr>
          <w:rFonts w:eastAsia="仿宋_GB2312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sz w:val="32"/>
          <w:szCs w:val="32"/>
          <w:lang w:val="zh-CN"/>
        </w:rPr>
      </w:pPr>
    </w:p>
    <w:p>
      <w:pPr>
        <w:widowControl/>
        <w:spacing w:line="576" w:lineRule="exact"/>
        <w:rPr>
          <w:rFonts w:eastAsia="仿宋_GB2312"/>
          <w:sz w:val="32"/>
          <w:szCs w:val="32"/>
          <w:lang w:val="zh-CN"/>
        </w:rPr>
      </w:pPr>
    </w:p>
    <w:p>
      <w:pPr>
        <w:widowControl/>
        <w:adjustRightInd w:val="0"/>
        <w:snapToGrid w:val="0"/>
        <w:spacing w:line="576" w:lineRule="exact"/>
        <w:rPr>
          <w:rFonts w:eastAsia="仿宋_GB2312"/>
          <w:kern w:val="0"/>
          <w:sz w:val="32"/>
          <w:szCs w:val="32"/>
        </w:rPr>
        <w:sectPr>
          <w:type w:val="continuous"/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</w:p>
    <w:p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zh-CN"/>
        </w:rPr>
        <w:t>“电信杯”第</w:t>
      </w:r>
      <w:r>
        <w:rPr>
          <w:rFonts w:eastAsia="方正小标宋简体"/>
          <w:kern w:val="0"/>
          <w:sz w:val="36"/>
          <w:szCs w:val="36"/>
          <w:lang w:val="zh-CN"/>
        </w:rPr>
        <w:t>十五届山东省大学生科技文化艺术节</w:t>
      </w:r>
    </w:p>
    <w:p>
      <w:pPr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eastAsia="方正小标宋简体"/>
          <w:kern w:val="0"/>
          <w:sz w:val="36"/>
          <w:szCs w:val="36"/>
          <w:lang w:val="zh-CN"/>
        </w:rPr>
        <w:t>创未来职业生涯规划大赛初赛作品</w:t>
      </w:r>
      <w:r>
        <w:rPr>
          <w:rFonts w:hint="eastAsia" w:eastAsia="方正小标宋简体"/>
          <w:kern w:val="0"/>
          <w:sz w:val="36"/>
          <w:szCs w:val="36"/>
          <w:lang w:val="zh-CN"/>
        </w:rPr>
        <w:t>撰写</w:t>
      </w:r>
      <w:r>
        <w:rPr>
          <w:rFonts w:eastAsia="方正小标宋简体"/>
          <w:kern w:val="0"/>
          <w:sz w:val="36"/>
          <w:szCs w:val="36"/>
          <w:lang w:val="zh-CN"/>
        </w:rPr>
        <w:t>要求</w:t>
      </w:r>
    </w:p>
    <w:p>
      <w:pPr>
        <w:spacing w:line="576" w:lineRule="exact"/>
        <w:rPr>
          <w:rFonts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职业生涯规划书</w:t>
      </w:r>
      <w:r>
        <w:rPr>
          <w:rFonts w:eastAsia="黑体"/>
          <w:bCs/>
          <w:sz w:val="32"/>
          <w:szCs w:val="32"/>
        </w:rPr>
        <w:t>主要内容</w:t>
      </w:r>
    </w:p>
    <w:p>
      <w:pPr>
        <w:spacing w:line="576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（一）自我认知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自我分析：根据个人兴趣、成长经历、社会实践和周围人的评价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，全面、深入、客观</w:t>
      </w: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>分析自身</w:t>
      </w:r>
      <w:r>
        <w:rPr>
          <w:rFonts w:hint="eastAsia" w:eastAsia="仿宋_GB2312"/>
          <w:sz w:val="32"/>
          <w:szCs w:val="32"/>
        </w:rPr>
        <w:t>优势</w:t>
      </w:r>
      <w:r>
        <w:rPr>
          <w:rFonts w:eastAsia="仿宋_GB2312"/>
          <w:sz w:val="32"/>
          <w:szCs w:val="32"/>
        </w:rPr>
        <w:t>和劣势。</w:t>
      </w:r>
    </w:p>
    <w:p>
      <w:pPr>
        <w:spacing w:line="576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自我评估：综合运用各类人才测评工具评估自己的职业兴趣、个性特征、职业能力。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（二）职业认知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正确分析社会整体就业趋势与大学生就业状况。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清晰</w:t>
      </w:r>
      <w:r>
        <w:rPr>
          <w:rFonts w:hint="eastAsia"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>阐述目标职业的行业现状、前景及就业需求。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充分表述自己熟悉目标职业的工作内容、工作环境、典型生活方式、未来发展趋势等。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表述目标职业的进入途径、胜任标准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在探索过程中</w:t>
      </w:r>
      <w:r>
        <w:rPr>
          <w:rFonts w:hint="eastAsia" w:eastAsia="仿宋_GB2312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应用文献检索、访谈、见习、实习等方法。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（三）职业决策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职业目标确定和发展路径设计要符合外部环境和个人特质（兴趣、技能、特质、价值观），符合实际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要具有可行性。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对照自我认知和职业认知的结果，全面分析自己</w:t>
      </w:r>
      <w:r>
        <w:rPr>
          <w:rFonts w:hint="eastAsia" w:eastAsia="仿宋_GB2312"/>
          <w:sz w:val="32"/>
          <w:szCs w:val="32"/>
        </w:rPr>
        <w:t>可能</w:t>
      </w:r>
      <w:r>
        <w:rPr>
          <w:rFonts w:eastAsia="仿宋_GB2312"/>
          <w:sz w:val="32"/>
          <w:szCs w:val="32"/>
        </w:rPr>
        <w:t>面临的</w:t>
      </w:r>
      <w:r>
        <w:rPr>
          <w:rFonts w:hint="eastAsia" w:eastAsia="仿宋_GB2312"/>
          <w:sz w:val="32"/>
          <w:szCs w:val="32"/>
        </w:rPr>
        <w:t>机遇</w:t>
      </w:r>
      <w:r>
        <w:rPr>
          <w:rFonts w:eastAsia="仿宋_GB2312"/>
          <w:sz w:val="32"/>
          <w:szCs w:val="32"/>
        </w:rPr>
        <w:t>和挑战，职业目标的选择过程需阐述详尽，合乎逻辑。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备选目标要充分根据个人与环境的评估进行分析确定，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与首选目标发展路径有一定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相关性。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能够正确运用评估理论和决策模型做出决策。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（四）计划实施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行动计划要发挥本人优势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弥补不足，具有可操作性。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近期计划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详尽</w:t>
      </w:r>
      <w:r>
        <w:rPr>
          <w:rFonts w:hint="eastAsia" w:eastAsia="仿宋_GB2312"/>
          <w:sz w:val="32"/>
          <w:szCs w:val="32"/>
        </w:rPr>
        <w:t>，且</w:t>
      </w:r>
      <w:r>
        <w:rPr>
          <w:rFonts w:eastAsia="仿宋_GB2312"/>
          <w:sz w:val="32"/>
          <w:szCs w:val="32"/>
        </w:rPr>
        <w:t>具有可操作性，中期计划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清晰、具有灵活性，长期计划</w:t>
      </w:r>
      <w:r>
        <w:rPr>
          <w:rFonts w:hint="eastAsia" w:eastAsia="仿宋_GB2312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具有导向性。</w:t>
      </w:r>
    </w:p>
    <w:p>
      <w:pPr>
        <w:spacing w:line="576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（五）评估调整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需要科学</w:t>
      </w:r>
      <w:r>
        <w:rPr>
          <w:rFonts w:hint="eastAsia" w:eastAsia="仿宋_GB2312"/>
          <w:sz w:val="32"/>
          <w:szCs w:val="32"/>
        </w:rPr>
        <w:t>制</w:t>
      </w:r>
      <w:r>
        <w:rPr>
          <w:rFonts w:eastAsia="仿宋_GB2312"/>
          <w:sz w:val="32"/>
          <w:szCs w:val="32"/>
        </w:rPr>
        <w:t>定行动计划和职业目标评估方案，标准和评估要素须明确。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正确评估行动计划实施过程和风险，制定切实可行的调整方案。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调整方案要依据个人与环境评估分析确定，并考虑首选目标与备选目标间的联系和差异，具有可操作性。</w:t>
      </w: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bCs/>
          <w:sz w:val="32"/>
          <w:szCs w:val="32"/>
        </w:rPr>
      </w:pPr>
    </w:p>
    <w:p>
      <w:pPr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eastAsia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zh-CN"/>
        </w:rPr>
        <w:t>“电信杯”</w:t>
      </w:r>
      <w:r>
        <w:rPr>
          <w:rFonts w:eastAsia="方正小标宋简体"/>
          <w:kern w:val="0"/>
          <w:sz w:val="36"/>
          <w:szCs w:val="36"/>
          <w:lang w:val="zh-CN"/>
        </w:rPr>
        <w:t>第十五届山东省大学生科技文化艺术节</w:t>
      </w:r>
    </w:p>
    <w:p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kern w:val="0"/>
          <w:sz w:val="36"/>
          <w:szCs w:val="36"/>
          <w:lang w:val="zh-CN"/>
        </w:rPr>
        <w:t>创未来职业生涯规划大赛决赛</w:t>
      </w:r>
      <w:r>
        <w:rPr>
          <w:rFonts w:hint="eastAsia" w:eastAsia="方正小标宋简体"/>
          <w:kern w:val="0"/>
          <w:sz w:val="36"/>
          <w:szCs w:val="36"/>
          <w:lang w:val="zh-CN"/>
        </w:rPr>
        <w:t>要求</w:t>
      </w:r>
    </w:p>
    <w:p>
      <w:pPr>
        <w:spacing w:line="576" w:lineRule="exact"/>
      </w:pPr>
    </w:p>
    <w:p>
      <w:pPr>
        <w:spacing w:line="576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一、职业生涯规划演讲要求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精神</w:t>
      </w:r>
      <w:r>
        <w:rPr>
          <w:rFonts w:eastAsia="仿宋_GB2312"/>
          <w:sz w:val="32"/>
          <w:szCs w:val="32"/>
        </w:rPr>
        <w:t>饱满，声音洪亮，能够准确清晰地</w:t>
      </w:r>
      <w:r>
        <w:rPr>
          <w:rFonts w:hint="eastAsia" w:eastAsia="仿宋_GB2312"/>
          <w:sz w:val="32"/>
          <w:szCs w:val="32"/>
        </w:rPr>
        <w:t>表达</w:t>
      </w:r>
      <w:r>
        <w:rPr>
          <w:rFonts w:eastAsia="仿宋_GB2312"/>
          <w:sz w:val="32"/>
          <w:szCs w:val="32"/>
        </w:rPr>
        <w:t>观点，具有较强的吸引力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感染力，原创成分高，具有鲜明个性。</w:t>
      </w:r>
    </w:p>
    <w:p>
      <w:pPr>
        <w:spacing w:line="576" w:lineRule="exact"/>
        <w:ind w:firstLine="640" w:firstLineChars="200"/>
      </w:pPr>
      <w:r>
        <w:rPr>
          <w:rFonts w:eastAsia="黑体"/>
          <w:sz w:val="32"/>
          <w:szCs w:val="32"/>
        </w:rPr>
        <w:t>二、职业生涯规划PPT要求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1．PPT首页</w:t>
      </w:r>
      <w:r>
        <w:rPr>
          <w:rFonts w:hint="eastAsia" w:eastAsia="仿宋_GB2312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</w:rPr>
        <w:t>题目</w:t>
      </w:r>
      <w:r>
        <w:rPr>
          <w:rFonts w:eastAsia="仿宋_GB2312"/>
          <w:sz w:val="32"/>
          <w:szCs w:val="32"/>
        </w:rPr>
        <w:t>、姓名、学校、指导教师等</w:t>
      </w:r>
      <w:r>
        <w:rPr>
          <w:rFonts w:hint="eastAsia" w:eastAsia="仿宋_GB2312"/>
          <w:sz w:val="32"/>
          <w:szCs w:val="32"/>
        </w:rPr>
        <w:t>基本信息，并以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xx学校xxx职业生涯规划</w:t>
      </w:r>
      <w:r>
        <w:rPr>
          <w:rFonts w:hint="eastAsia" w:ascii="仿宋_GB2312" w:eastAsia="仿宋_GB2312"/>
          <w:sz w:val="32"/>
          <w:szCs w:val="32"/>
        </w:rPr>
        <w:t>”命名</w:t>
      </w:r>
      <w:r>
        <w:rPr>
          <w:rFonts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2．题目精炼，内容完整、新颖。 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3．作品紧扣主题，表现方式恰当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 xml:space="preserve">重点突出。 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4．结构合理、逻辑顺畅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幻灯片之间</w:t>
      </w:r>
      <w:r>
        <w:rPr>
          <w:rFonts w:hint="eastAsia" w:eastAsia="仿宋_GB2312"/>
          <w:sz w:val="32"/>
          <w:szCs w:val="32"/>
        </w:rPr>
        <w:t>富有</w:t>
      </w:r>
      <w:r>
        <w:rPr>
          <w:rFonts w:eastAsia="仿宋_GB2312"/>
          <w:sz w:val="32"/>
          <w:szCs w:val="32"/>
        </w:rPr>
        <w:t>层次性和连贯性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作品播放流畅，运行稳定，无故障。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．整体布局美观合理、立意新颖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构思独特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设计巧妙，具有想象力和表现力。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．作品中可使用文本、图片、</w:t>
      </w:r>
      <w:r>
        <w:rPr>
          <w:rFonts w:hint="eastAsia" w:eastAsia="仿宋_GB2312"/>
          <w:sz w:val="32"/>
          <w:szCs w:val="32"/>
        </w:rPr>
        <w:t>表格</w:t>
      </w:r>
      <w:r>
        <w:rPr>
          <w:rFonts w:eastAsia="仿宋_GB2312"/>
          <w:sz w:val="32"/>
          <w:szCs w:val="32"/>
        </w:rPr>
        <w:t>、图形、动画、音频、视频等表现工具，也可使用超链接或动作功能。</w:t>
      </w:r>
    </w:p>
    <w:p>
      <w:pPr>
        <w:spacing w:line="57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三、职业角色模拟要求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参赛选手根据自身职业目标，模拟目标角色在某一具体工作情境中的表现。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要求职业角色模拟真实、生动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鼓励</w:t>
      </w:r>
      <w:r>
        <w:rPr>
          <w:rFonts w:hint="eastAsia" w:eastAsia="仿宋_GB2312"/>
          <w:sz w:val="32"/>
          <w:szCs w:val="32"/>
        </w:rPr>
        <w:t>原创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模拟过程</w:t>
      </w:r>
      <w:r>
        <w:rPr>
          <w:rFonts w:eastAsia="仿宋_GB2312"/>
          <w:sz w:val="32"/>
          <w:szCs w:val="32"/>
        </w:rPr>
        <w:t>中能够准确体现目标职业在某一方面的工作特点，能给观众留下深刻的职业印象。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</w:t>
      </w:r>
      <w:r>
        <w:rPr>
          <w:rFonts w:eastAsia="仿宋_GB2312"/>
          <w:sz w:val="32"/>
          <w:szCs w:val="32"/>
        </w:rPr>
        <w:t>职业角色模拟可以使用简单道具</w:t>
      </w:r>
      <w:r>
        <w:rPr>
          <w:rFonts w:hint="eastAsia" w:eastAsia="仿宋_GB2312"/>
          <w:sz w:val="32"/>
          <w:szCs w:val="32"/>
        </w:rPr>
        <w:t>，也可</w:t>
      </w:r>
      <w:r>
        <w:rPr>
          <w:rFonts w:eastAsia="仿宋_GB2312"/>
          <w:sz w:val="32"/>
          <w:szCs w:val="32"/>
        </w:rPr>
        <w:t>请台下观众配合。</w:t>
      </w:r>
    </w:p>
    <w:p>
      <w:pPr>
        <w:spacing w:line="576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四、职业生涯规划微</w:t>
      </w:r>
      <w:r>
        <w:rPr>
          <w:rFonts w:hint="eastAsia" w:eastAsia="黑体"/>
          <w:bCs/>
          <w:sz w:val="32"/>
          <w:szCs w:val="32"/>
        </w:rPr>
        <w:t>视频</w:t>
      </w:r>
      <w:r>
        <w:rPr>
          <w:rFonts w:eastAsia="黑体"/>
          <w:bCs/>
          <w:sz w:val="32"/>
          <w:szCs w:val="32"/>
        </w:rPr>
        <w:t>要求（需要利用微</w:t>
      </w:r>
      <w:r>
        <w:rPr>
          <w:rFonts w:hint="eastAsia" w:eastAsia="黑体"/>
          <w:bCs/>
          <w:sz w:val="32"/>
          <w:szCs w:val="32"/>
        </w:rPr>
        <w:t>视频</w:t>
      </w:r>
      <w:r>
        <w:rPr>
          <w:rFonts w:eastAsia="黑体"/>
          <w:bCs/>
          <w:sz w:val="32"/>
          <w:szCs w:val="32"/>
        </w:rPr>
        <w:t>表现的选手可参照此要求）</w:t>
      </w:r>
    </w:p>
    <w:p>
      <w:pPr>
        <w:spacing w:line="576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1．内容须为具有独立视角和完整情节的原创作品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健康向上，</w:t>
      </w:r>
      <w:r>
        <w:rPr>
          <w:rFonts w:hint="eastAsia" w:eastAsia="仿宋_GB2312"/>
          <w:kern w:val="0"/>
          <w:sz w:val="32"/>
          <w:szCs w:val="32"/>
        </w:rPr>
        <w:t>符合</w:t>
      </w:r>
      <w:r>
        <w:rPr>
          <w:rFonts w:eastAsia="仿宋_GB2312"/>
          <w:kern w:val="0"/>
          <w:sz w:val="32"/>
          <w:szCs w:val="32"/>
        </w:rPr>
        <w:t>我国法律，无色情、暴力、血腥等</w:t>
      </w:r>
      <w:r>
        <w:rPr>
          <w:rFonts w:hint="eastAsia" w:eastAsia="仿宋_GB2312"/>
          <w:kern w:val="0"/>
          <w:sz w:val="32"/>
          <w:szCs w:val="32"/>
        </w:rPr>
        <w:t>画面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2．视频格式：MP4格式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3．画面标准：720×576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4．画幅宽高比：4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3或16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5．声音：双声道立体声或5.1环绕声（采样率48kHz，总体电平应在-20dB到-10dB之间）。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6．字幕：视频须在画面下方以字幕安全框下沿为底线给对白、旁白和解说</w:t>
      </w:r>
      <w:r>
        <w:rPr>
          <w:rFonts w:hint="eastAsia" w:eastAsia="仿宋_GB2312"/>
          <w:sz w:val="32"/>
          <w:szCs w:val="32"/>
        </w:rPr>
        <w:t>增</w:t>
      </w:r>
      <w:r>
        <w:rPr>
          <w:rFonts w:eastAsia="仿宋_GB2312"/>
          <w:sz w:val="32"/>
          <w:szCs w:val="32"/>
        </w:rPr>
        <w:t>加字幕，建议配中文字幕，同时也可添加英文字幕。单一语种字幕单行显示，除双引号、书名号外不得有其他标点符号；若是中英文双语字幕，中文在上，英文在下。中文字体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黑体、28号字；英文字体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Times New Roman，24号字；字体颜色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白色描黑边（如有遮幅，字幕加在遮幅上）。</w:t>
      </w:r>
    </w:p>
    <w:p>
      <w:pPr>
        <w:pStyle w:val="4"/>
        <w:shd w:val="clear" w:color="auto" w:fill="FFFFFF"/>
        <w:spacing w:before="0" w:beforeAutospacing="0" w:after="0" w:afterAutospacing="0" w:line="576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86"/>
    <w:rsid w:val="00002B2B"/>
    <w:rsid w:val="00003312"/>
    <w:rsid w:val="00004000"/>
    <w:rsid w:val="00015C59"/>
    <w:rsid w:val="000174AB"/>
    <w:rsid w:val="00022FE5"/>
    <w:rsid w:val="000301A4"/>
    <w:rsid w:val="00030B55"/>
    <w:rsid w:val="00033E4D"/>
    <w:rsid w:val="00035FBA"/>
    <w:rsid w:val="00040818"/>
    <w:rsid w:val="000417E6"/>
    <w:rsid w:val="00041D41"/>
    <w:rsid w:val="00044010"/>
    <w:rsid w:val="000628F7"/>
    <w:rsid w:val="00066A6B"/>
    <w:rsid w:val="0007314B"/>
    <w:rsid w:val="000A1126"/>
    <w:rsid w:val="000A3C32"/>
    <w:rsid w:val="000A4BB3"/>
    <w:rsid w:val="000B374E"/>
    <w:rsid w:val="000D0ACB"/>
    <w:rsid w:val="000D2FB1"/>
    <w:rsid w:val="000D4DC3"/>
    <w:rsid w:val="000D77AB"/>
    <w:rsid w:val="000D7E37"/>
    <w:rsid w:val="000E4721"/>
    <w:rsid w:val="000F5D34"/>
    <w:rsid w:val="00103352"/>
    <w:rsid w:val="001071A9"/>
    <w:rsid w:val="001151AC"/>
    <w:rsid w:val="00120940"/>
    <w:rsid w:val="00123AE3"/>
    <w:rsid w:val="00130B9D"/>
    <w:rsid w:val="001340CB"/>
    <w:rsid w:val="00135225"/>
    <w:rsid w:val="00144C82"/>
    <w:rsid w:val="0015364E"/>
    <w:rsid w:val="001602D9"/>
    <w:rsid w:val="00160BC8"/>
    <w:rsid w:val="00180780"/>
    <w:rsid w:val="001874EA"/>
    <w:rsid w:val="001A068C"/>
    <w:rsid w:val="001A2A6D"/>
    <w:rsid w:val="001A4ECF"/>
    <w:rsid w:val="001B7B6F"/>
    <w:rsid w:val="001C1682"/>
    <w:rsid w:val="00204A5F"/>
    <w:rsid w:val="0021004B"/>
    <w:rsid w:val="00212AB3"/>
    <w:rsid w:val="0021544A"/>
    <w:rsid w:val="00215D8F"/>
    <w:rsid w:val="0022262A"/>
    <w:rsid w:val="00226FC8"/>
    <w:rsid w:val="0023681A"/>
    <w:rsid w:val="002555C3"/>
    <w:rsid w:val="00264E4C"/>
    <w:rsid w:val="002663BD"/>
    <w:rsid w:val="00291E41"/>
    <w:rsid w:val="00294CE3"/>
    <w:rsid w:val="002B01CB"/>
    <w:rsid w:val="002C61F8"/>
    <w:rsid w:val="002D239C"/>
    <w:rsid w:val="002E0D85"/>
    <w:rsid w:val="002E7983"/>
    <w:rsid w:val="00330363"/>
    <w:rsid w:val="003306D3"/>
    <w:rsid w:val="00330931"/>
    <w:rsid w:val="00331954"/>
    <w:rsid w:val="003600C7"/>
    <w:rsid w:val="003651C6"/>
    <w:rsid w:val="00376DD1"/>
    <w:rsid w:val="00382ED5"/>
    <w:rsid w:val="003D24C8"/>
    <w:rsid w:val="003F0D92"/>
    <w:rsid w:val="003F0E4F"/>
    <w:rsid w:val="00405CAF"/>
    <w:rsid w:val="00410CC8"/>
    <w:rsid w:val="00412988"/>
    <w:rsid w:val="00414BB4"/>
    <w:rsid w:val="00420F76"/>
    <w:rsid w:val="00437820"/>
    <w:rsid w:val="00464DDA"/>
    <w:rsid w:val="00471528"/>
    <w:rsid w:val="004747ED"/>
    <w:rsid w:val="00481900"/>
    <w:rsid w:val="00495FE5"/>
    <w:rsid w:val="004A2357"/>
    <w:rsid w:val="004A3AE3"/>
    <w:rsid w:val="004B06AA"/>
    <w:rsid w:val="004B7FFD"/>
    <w:rsid w:val="004C1D27"/>
    <w:rsid w:val="004C6F35"/>
    <w:rsid w:val="004E1B87"/>
    <w:rsid w:val="004E208C"/>
    <w:rsid w:val="004E6CFA"/>
    <w:rsid w:val="00506E5D"/>
    <w:rsid w:val="0052278C"/>
    <w:rsid w:val="00534847"/>
    <w:rsid w:val="005377AD"/>
    <w:rsid w:val="0056215F"/>
    <w:rsid w:val="00572159"/>
    <w:rsid w:val="00585CB7"/>
    <w:rsid w:val="00595269"/>
    <w:rsid w:val="005A1547"/>
    <w:rsid w:val="005B6884"/>
    <w:rsid w:val="005D4835"/>
    <w:rsid w:val="006251A8"/>
    <w:rsid w:val="00625560"/>
    <w:rsid w:val="00634564"/>
    <w:rsid w:val="00650CC9"/>
    <w:rsid w:val="00654661"/>
    <w:rsid w:val="006630DA"/>
    <w:rsid w:val="006644DD"/>
    <w:rsid w:val="0067112F"/>
    <w:rsid w:val="00673EE9"/>
    <w:rsid w:val="00683EDE"/>
    <w:rsid w:val="006B20C1"/>
    <w:rsid w:val="006B5CA6"/>
    <w:rsid w:val="006D21F2"/>
    <w:rsid w:val="006E36F7"/>
    <w:rsid w:val="006F303C"/>
    <w:rsid w:val="00701208"/>
    <w:rsid w:val="007026DB"/>
    <w:rsid w:val="00711A4A"/>
    <w:rsid w:val="007176AA"/>
    <w:rsid w:val="0073411F"/>
    <w:rsid w:val="0073789B"/>
    <w:rsid w:val="00737F9A"/>
    <w:rsid w:val="00740CF4"/>
    <w:rsid w:val="0074502B"/>
    <w:rsid w:val="00750777"/>
    <w:rsid w:val="00752FFE"/>
    <w:rsid w:val="00776014"/>
    <w:rsid w:val="007A175E"/>
    <w:rsid w:val="007A479B"/>
    <w:rsid w:val="007B481E"/>
    <w:rsid w:val="007C5E90"/>
    <w:rsid w:val="007C7654"/>
    <w:rsid w:val="007D1EB3"/>
    <w:rsid w:val="007D2E1B"/>
    <w:rsid w:val="007D74F2"/>
    <w:rsid w:val="007D759B"/>
    <w:rsid w:val="007F072A"/>
    <w:rsid w:val="008006B3"/>
    <w:rsid w:val="00801B04"/>
    <w:rsid w:val="00801E95"/>
    <w:rsid w:val="00804F8E"/>
    <w:rsid w:val="00822CBC"/>
    <w:rsid w:val="00822D3B"/>
    <w:rsid w:val="00832FA9"/>
    <w:rsid w:val="00841D17"/>
    <w:rsid w:val="00860F8D"/>
    <w:rsid w:val="00861143"/>
    <w:rsid w:val="008701FD"/>
    <w:rsid w:val="00890428"/>
    <w:rsid w:val="0089440E"/>
    <w:rsid w:val="008B0146"/>
    <w:rsid w:val="008B0E2B"/>
    <w:rsid w:val="008B3C04"/>
    <w:rsid w:val="008B3D93"/>
    <w:rsid w:val="008B6A70"/>
    <w:rsid w:val="008D3033"/>
    <w:rsid w:val="008D7071"/>
    <w:rsid w:val="008F275D"/>
    <w:rsid w:val="00900573"/>
    <w:rsid w:val="00923838"/>
    <w:rsid w:val="009251E7"/>
    <w:rsid w:val="00937AAD"/>
    <w:rsid w:val="00946B7F"/>
    <w:rsid w:val="009501FA"/>
    <w:rsid w:val="0095601F"/>
    <w:rsid w:val="00961C01"/>
    <w:rsid w:val="00963F7D"/>
    <w:rsid w:val="00964686"/>
    <w:rsid w:val="009A4ECC"/>
    <w:rsid w:val="009B1002"/>
    <w:rsid w:val="009C45F3"/>
    <w:rsid w:val="009C5DDA"/>
    <w:rsid w:val="009D5373"/>
    <w:rsid w:val="009E1663"/>
    <w:rsid w:val="009F0693"/>
    <w:rsid w:val="009F727A"/>
    <w:rsid w:val="00A104C0"/>
    <w:rsid w:val="00A20DA1"/>
    <w:rsid w:val="00A21C90"/>
    <w:rsid w:val="00A26AB1"/>
    <w:rsid w:val="00A313FE"/>
    <w:rsid w:val="00A34DC4"/>
    <w:rsid w:val="00A358E0"/>
    <w:rsid w:val="00A36187"/>
    <w:rsid w:val="00A66672"/>
    <w:rsid w:val="00A670AE"/>
    <w:rsid w:val="00A67E87"/>
    <w:rsid w:val="00A70A36"/>
    <w:rsid w:val="00A74951"/>
    <w:rsid w:val="00A86E9C"/>
    <w:rsid w:val="00A9216B"/>
    <w:rsid w:val="00A942AA"/>
    <w:rsid w:val="00A95EE4"/>
    <w:rsid w:val="00AA5F18"/>
    <w:rsid w:val="00AB3986"/>
    <w:rsid w:val="00AB3A7C"/>
    <w:rsid w:val="00AB7FCD"/>
    <w:rsid w:val="00AC14EB"/>
    <w:rsid w:val="00AD45B0"/>
    <w:rsid w:val="00AE226C"/>
    <w:rsid w:val="00AF3D01"/>
    <w:rsid w:val="00B04817"/>
    <w:rsid w:val="00B05D25"/>
    <w:rsid w:val="00B10743"/>
    <w:rsid w:val="00B323CA"/>
    <w:rsid w:val="00B32D95"/>
    <w:rsid w:val="00B33AA9"/>
    <w:rsid w:val="00B360F2"/>
    <w:rsid w:val="00B37064"/>
    <w:rsid w:val="00B4519C"/>
    <w:rsid w:val="00B52488"/>
    <w:rsid w:val="00B55D9D"/>
    <w:rsid w:val="00B9044D"/>
    <w:rsid w:val="00B90A03"/>
    <w:rsid w:val="00B93362"/>
    <w:rsid w:val="00BC3523"/>
    <w:rsid w:val="00BC5533"/>
    <w:rsid w:val="00BD2AF1"/>
    <w:rsid w:val="00C26D4F"/>
    <w:rsid w:val="00C33D40"/>
    <w:rsid w:val="00C51625"/>
    <w:rsid w:val="00C53966"/>
    <w:rsid w:val="00C55C31"/>
    <w:rsid w:val="00C90624"/>
    <w:rsid w:val="00CA081F"/>
    <w:rsid w:val="00CA3A51"/>
    <w:rsid w:val="00CB0382"/>
    <w:rsid w:val="00CB21B8"/>
    <w:rsid w:val="00CB25F9"/>
    <w:rsid w:val="00CC260C"/>
    <w:rsid w:val="00CD0126"/>
    <w:rsid w:val="00CD083E"/>
    <w:rsid w:val="00CD3052"/>
    <w:rsid w:val="00CD3EE9"/>
    <w:rsid w:val="00CD6C1A"/>
    <w:rsid w:val="00CE0E3E"/>
    <w:rsid w:val="00CF2F73"/>
    <w:rsid w:val="00CF43BD"/>
    <w:rsid w:val="00CF45D2"/>
    <w:rsid w:val="00CF4661"/>
    <w:rsid w:val="00D035FD"/>
    <w:rsid w:val="00D066F3"/>
    <w:rsid w:val="00D06813"/>
    <w:rsid w:val="00D15539"/>
    <w:rsid w:val="00D22DD0"/>
    <w:rsid w:val="00D233A7"/>
    <w:rsid w:val="00D23DFB"/>
    <w:rsid w:val="00D2677A"/>
    <w:rsid w:val="00D2735E"/>
    <w:rsid w:val="00D27A90"/>
    <w:rsid w:val="00D54FF2"/>
    <w:rsid w:val="00D90CAA"/>
    <w:rsid w:val="00D938CF"/>
    <w:rsid w:val="00DA035B"/>
    <w:rsid w:val="00DA225B"/>
    <w:rsid w:val="00DA2F0C"/>
    <w:rsid w:val="00DB0550"/>
    <w:rsid w:val="00DB323E"/>
    <w:rsid w:val="00DB3B5E"/>
    <w:rsid w:val="00DC57DC"/>
    <w:rsid w:val="00DF33C4"/>
    <w:rsid w:val="00E14088"/>
    <w:rsid w:val="00E14357"/>
    <w:rsid w:val="00E17D23"/>
    <w:rsid w:val="00E24A03"/>
    <w:rsid w:val="00E25EA3"/>
    <w:rsid w:val="00E316B4"/>
    <w:rsid w:val="00E53939"/>
    <w:rsid w:val="00E6452F"/>
    <w:rsid w:val="00E8080C"/>
    <w:rsid w:val="00E84328"/>
    <w:rsid w:val="00E96BD2"/>
    <w:rsid w:val="00EA15BE"/>
    <w:rsid w:val="00EA65D5"/>
    <w:rsid w:val="00EB2871"/>
    <w:rsid w:val="00EC478B"/>
    <w:rsid w:val="00EC6AC9"/>
    <w:rsid w:val="00EE6E4E"/>
    <w:rsid w:val="00EF70BC"/>
    <w:rsid w:val="00F0635B"/>
    <w:rsid w:val="00F0737E"/>
    <w:rsid w:val="00F16274"/>
    <w:rsid w:val="00F2506B"/>
    <w:rsid w:val="00F27AB8"/>
    <w:rsid w:val="00F30F33"/>
    <w:rsid w:val="00F3128C"/>
    <w:rsid w:val="00F36429"/>
    <w:rsid w:val="00F548E1"/>
    <w:rsid w:val="00F666DF"/>
    <w:rsid w:val="00F73115"/>
    <w:rsid w:val="00F83466"/>
    <w:rsid w:val="00FA019E"/>
    <w:rsid w:val="00FA02D9"/>
    <w:rsid w:val="00FA0B7B"/>
    <w:rsid w:val="00FD3F32"/>
    <w:rsid w:val="00FF69F6"/>
    <w:rsid w:val="00FF7CE9"/>
    <w:rsid w:val="02880057"/>
    <w:rsid w:val="16493EEE"/>
    <w:rsid w:val="277D674A"/>
    <w:rsid w:val="28246890"/>
    <w:rsid w:val="2DFC15F8"/>
    <w:rsid w:val="314B78F9"/>
    <w:rsid w:val="31C55764"/>
    <w:rsid w:val="3AF25F16"/>
    <w:rsid w:val="5B1C50A9"/>
    <w:rsid w:val="5B1F6818"/>
    <w:rsid w:val="7FA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442</Words>
  <Characters>2525</Characters>
  <Lines>21</Lines>
  <Paragraphs>5</Paragraphs>
  <TotalTime>0</TotalTime>
  <ScaleCrop>false</ScaleCrop>
  <LinksUpToDate>false</LinksUpToDate>
  <CharactersWithSpaces>2962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2017-04-21T09:46:00Z</dcterms:created>
  <dc:creator>gzgb2</dc:creator>
  <cp:lastModifiedBy>Administrator</cp:lastModifiedBy>
  <dcterms:modified xsi:type="dcterms:W3CDTF">2017-05-03T03:01:16Z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