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  <w:t>关于申报第十一届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  <w:t>山东省大学生科技节赛事活动的通知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山东省大学生科技节以“提高综合素质，促进创新创业”为主题，在高校学生中营造了热爱科学、勇于创新、敢于竞争的氛围，在促进大学生创新就业创业中发挥了重要作用。2019年，山东省科协继续联合省教育厅、团省委、省发改委、省工信厅、省人社厅共同举办第十一届山东省大学生科技节。现将申报赛事活动的相关要求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一、申报范围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1.申报单位原则上为省级学会、协会、研究会和各市科协，每项赛事活动可以是一个单位单独承办，也可以是联合承办。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2.申报学会在社会组织年检中最近连续两年为合格。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二、申报材料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1.《山东省大学生科技节赛事活动申报书》(见附件1)。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2.《山东省大学生科技节创新创业讲座安排表》(见附件2)。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三、申报要求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1.申报单位保证严格遵守《山东省大学生科技节赛事活动管理办法》(见附件3)。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2.申报材料应信息准确、内容完整、资料齐全。申报多项赛事，请标注顺序。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3.各申报单位于2019年2月20日前，将纸质申报材料加盖公章后连同电子版一并报省科协学会服务中心，逾期不予受理。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4.没有成立高校科协的高校暂不受理。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请各二级单位接到通知后，结合自身优势，按照通知要求联系相关协会或学会联合申报（可参考第十届大学生科技节相关赛事，见附件4）。省科协将组织专家对申报赛事评审论证，确定2019年山东省大学生科技节赛事活动项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联系人：省科协学会服务中心 张玲、冯笑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电 话：0531-82073233、82073236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地 址：济南市杆南东街8号南楼 401房间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 w:firstLine="43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邮 编：250001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43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E-mail：skx_fengxiao@shandong.cn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附件：1.山东省大学生科技节活动申报书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2.山东省大学生科技节创新创业讲座安排表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3.山东省大学生科技节赛事活动管理办法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山东省科协办公室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2019年1月9日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OLE_LINK10"/>
      <w:bookmarkStart w:id="1" w:name="OLE_LINK11"/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hint="eastAsia" w:ascii="黑体" w:hAnsi="宋体" w:eastAsia="黑体"/>
          <w:bCs/>
          <w:spacing w:val="15"/>
          <w:kern w:val="0"/>
          <w:sz w:val="30"/>
          <w:szCs w:val="3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楷体_GB2312" w:eastAsia="楷体_GB2312"/>
          <w:b/>
          <w:bCs/>
          <w:spacing w:val="30"/>
          <w:kern w:val="0"/>
          <w:sz w:val="44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楷体_GB2312" w:eastAsia="楷体_GB2312"/>
          <w:b/>
          <w:bCs/>
          <w:spacing w:val="30"/>
          <w:kern w:val="0"/>
          <w:sz w:val="44"/>
          <w:szCs w:val="20"/>
        </w:rPr>
      </w:pPr>
      <w:r>
        <w:rPr>
          <w:rFonts w:hint="eastAsia" w:ascii="楷体_GB2312" w:eastAsia="楷体_GB2312"/>
          <w:b/>
          <w:bCs/>
          <w:spacing w:val="30"/>
          <w:kern w:val="0"/>
          <w:sz w:val="44"/>
          <w:szCs w:val="20"/>
        </w:rPr>
        <w:t>山东省大学生科技节赛事活动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line="360" w:lineRule="auto"/>
        <w:jc w:val="center"/>
        <w:textAlignment w:val="baseline"/>
        <w:rPr>
          <w:rFonts w:hint="eastAsia" w:ascii="华文中宋" w:hAnsi="华文中宋" w:eastAsia="华文中宋"/>
          <w:b/>
          <w:spacing w:val="24"/>
          <w:kern w:val="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4"/>
          <w:kern w:val="0"/>
          <w:sz w:val="52"/>
          <w:szCs w:val="52"/>
        </w:rPr>
        <w:t>申 报 书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516" w:firstLineChars="147"/>
        <w:textAlignment w:val="baseline"/>
        <w:rPr>
          <w:rFonts w:hint="eastAsia" w:ascii="宋体" w:hAnsi="宋体"/>
          <w:b/>
          <w:spacing w:val="15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kern w:val="0"/>
          <w:sz w:val="32"/>
          <w:szCs w:val="32"/>
        </w:rPr>
        <w:t>赛事名称：</w:t>
      </w:r>
      <w:r>
        <w:rPr>
          <w:rFonts w:hint="eastAsia" w:ascii="宋体" w:hAnsi="宋体"/>
          <w:b/>
          <w:spacing w:val="15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516" w:firstLineChars="147"/>
        <w:textAlignment w:val="baseline"/>
        <w:rPr>
          <w:rFonts w:hint="eastAsia" w:ascii="宋体" w:hAnsi="宋体"/>
          <w:b/>
          <w:spacing w:val="15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kern w:val="0"/>
          <w:sz w:val="32"/>
          <w:szCs w:val="32"/>
        </w:rPr>
        <w:t>申报单位：青岛</w:t>
      </w:r>
      <w:r>
        <w:rPr>
          <w:rFonts w:hint="eastAsia" w:ascii="宋体" w:hAnsi="宋体"/>
          <w:b/>
          <w:spacing w:val="15"/>
          <w:kern w:val="0"/>
          <w:sz w:val="32"/>
          <w:szCs w:val="32"/>
          <w:lang w:val="en-US" w:eastAsia="zh-CN"/>
        </w:rPr>
        <w:t>农业大学</w:t>
      </w:r>
      <w:r>
        <w:rPr>
          <w:rFonts w:hint="eastAsia" w:ascii="宋体" w:hAnsi="宋体"/>
          <w:b/>
          <w:spacing w:val="15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overflowPunct w:val="0"/>
        <w:autoSpaceDE w:val="0"/>
        <w:autoSpaceDN w:val="0"/>
        <w:adjustRightInd w:val="0"/>
        <w:spacing w:line="720" w:lineRule="exact"/>
        <w:ind w:firstLine="472" w:firstLineChars="147"/>
        <w:textAlignment w:val="baseline"/>
        <w:rPr>
          <w:rFonts w:hint="eastAsia" w:ascii="宋体" w:hAnsi="宋体"/>
          <w:spacing w:val="15"/>
          <w:kern w:val="0"/>
          <w:sz w:val="30"/>
          <w:szCs w:val="18"/>
          <w:u w:val="single"/>
        </w:rPr>
      </w:pPr>
      <w:r>
        <w:rPr>
          <w:rFonts w:hint="eastAsia"/>
          <w:b/>
          <w:kern w:val="0"/>
          <w:sz w:val="32"/>
          <w:szCs w:val="20"/>
        </w:rPr>
        <w:t>项目负责人：</w:t>
      </w:r>
      <w:r>
        <w:rPr>
          <w:rFonts w:hint="eastAsia" w:ascii="宋体" w:hAnsi="宋体"/>
          <w:spacing w:val="15"/>
          <w:kern w:val="0"/>
          <w:sz w:val="30"/>
          <w:szCs w:val="18"/>
          <w:u w:val="single"/>
        </w:rPr>
        <w:t xml:space="preserve">                             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仿宋_GB2312" w:hAnsi="_x000B_" w:eastAsia="仿宋_GB2312"/>
          <w:spacing w:val="15"/>
          <w:kern w:val="0"/>
          <w:sz w:val="30"/>
          <w:szCs w:val="18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eastAsia="黑体"/>
          <w:kern w:val="0"/>
          <w:sz w:val="30"/>
          <w:szCs w:val="20"/>
        </w:rPr>
      </w:pPr>
      <w:r>
        <w:rPr>
          <w:rFonts w:hint="eastAsia" w:eastAsia="黑体"/>
          <w:kern w:val="0"/>
          <w:sz w:val="30"/>
          <w:szCs w:val="20"/>
        </w:rPr>
        <w:t>山东省科学技术协会制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eastAsia="黑体"/>
          <w:kern w:val="0"/>
          <w:sz w:val="30"/>
          <w:szCs w:val="20"/>
        </w:rPr>
      </w:pPr>
      <w:r>
        <w:rPr>
          <w:rFonts w:hint="eastAsia" w:eastAsia="黑体"/>
          <w:kern w:val="0"/>
          <w:sz w:val="30"/>
          <w:szCs w:val="20"/>
        </w:rPr>
        <w:t>2019年1月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eastAsia="黑体"/>
          <w:kern w:val="0"/>
          <w:sz w:val="30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eastAsia="黑体"/>
          <w:b/>
          <w:kern w:val="0"/>
          <w:sz w:val="32"/>
          <w:szCs w:val="32"/>
        </w:rPr>
      </w:pPr>
      <w:r>
        <w:rPr>
          <w:rFonts w:hint="eastAsia" w:ascii="黑体" w:eastAsia="黑体"/>
          <w:b/>
          <w:kern w:val="0"/>
          <w:sz w:val="32"/>
          <w:szCs w:val="32"/>
        </w:rPr>
        <w:t>填  报  说  明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eastAsia="黑体"/>
          <w:b/>
          <w:kern w:val="0"/>
          <w:sz w:val="32"/>
          <w:szCs w:val="32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一、申报书内各项内容，应实事求是，认真填写，表述明确，字迹工整易辨，可以打印填表。所有表格均需填写，如无内容请填“/”。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二、申报书为A4纸，于左侧装订成册（加盖申报单位公章）。不接受申报材料的传真件。</w:t>
      </w:r>
    </w:p>
    <w:p>
      <w:pPr>
        <w:spacing w:line="520" w:lineRule="exact"/>
        <w:ind w:firstLine="645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三、赛事申报主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要面向省级学会、</w:t>
      </w:r>
      <w:r>
        <w:rPr>
          <w:rFonts w:hint="eastAsia" w:ascii="宋体" w:hAnsi="宋体" w:cs="宋体"/>
          <w:kern w:val="0"/>
          <w:sz w:val="28"/>
          <w:szCs w:val="28"/>
        </w:rPr>
        <w:t>市科协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联合承办大赛的申报单位均需分别在承办单位意见栏签章。</w:t>
      </w:r>
    </w:p>
    <w:p>
      <w:pPr>
        <w:spacing w:line="520" w:lineRule="exact"/>
        <w:ind w:firstLine="645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、各申报单位务必在申报截止日期前将项目申报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书报送山东省科协学会服务中心，逾期将不予受理。</w:t>
      </w:r>
    </w:p>
    <w:p>
      <w:pPr>
        <w:spacing w:line="520" w:lineRule="exact"/>
        <w:ind w:firstLine="645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五、其它需要说明的资料可添加附页。</w:t>
      </w: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</w:rPr>
      </w:pPr>
      <w:bookmarkStart w:id="2" w:name="_GoBack"/>
      <w:bookmarkEnd w:id="2"/>
    </w:p>
    <w:tbl>
      <w:tblPr>
        <w:tblStyle w:val="3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40"/>
        <w:gridCol w:w="810"/>
        <w:gridCol w:w="900"/>
        <w:gridCol w:w="40"/>
        <w:gridCol w:w="1290"/>
        <w:gridCol w:w="80"/>
        <w:gridCol w:w="985"/>
        <w:gridCol w:w="167"/>
        <w:gridCol w:w="915"/>
        <w:gridCol w:w="208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一、赛事基本情况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赛事名称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赛事规模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 xml:space="preserve">             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获奖人数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举办地点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举办时间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获奖比例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参与企业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冠名企业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参赛学生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□山东省内高校  □国内其他省份高校  □港澳台高校  □国外高校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二、申报单位基本情况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 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 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三、联系人情况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姓    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职务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姓    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职务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手机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手机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  <w:t>四、</w:t>
            </w:r>
            <w:r>
              <w:rPr>
                <w:rFonts w:hint="eastAsia" w:eastAsia="黑体"/>
                <w:bCs/>
                <w:sz w:val="28"/>
                <w:szCs w:val="24"/>
              </w:rPr>
              <w:t>目的意义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楷体_GB2312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  <w:t>五、</w:t>
            </w:r>
            <w:r>
              <w:rPr>
                <w:rFonts w:hint="eastAsia" w:eastAsia="黑体"/>
                <w:bCs/>
                <w:sz w:val="28"/>
                <w:szCs w:val="24"/>
              </w:rPr>
              <w:t>承办优势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  <w:t>六、赛事简介（包括主要内容、举办形式、设立奖项、参与企业等）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  <w:t>七、实施方案（1000字左右）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276"/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八、申报单位意见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  <w:jc w:val="center"/>
        </w:trPr>
        <w:tc>
          <w:tcPr>
            <w:tcW w:w="4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68" w:firstLineChars="1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268" w:firstLineChars="1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>申报单位（公章）：</w:t>
            </w:r>
          </w:p>
          <w:p>
            <w:pPr>
              <w:snapToGrid w:val="0"/>
              <w:spacing w:line="560" w:lineRule="exact"/>
              <w:ind w:firstLine="268" w:firstLineChars="1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>负责人（签名）：</w:t>
            </w:r>
          </w:p>
          <w:p>
            <w:pPr>
              <w:snapToGrid w:val="0"/>
              <w:spacing w:line="56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           </w:t>
            </w:r>
          </w:p>
          <w:p>
            <w:pPr>
              <w:snapToGrid w:val="0"/>
              <w:spacing w:line="560" w:lineRule="exact"/>
              <w:ind w:firstLine="1608" w:firstLineChars="6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年   月   日</w:t>
            </w:r>
          </w:p>
        </w:tc>
        <w:tc>
          <w:tcPr>
            <w:tcW w:w="4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68" w:firstLineChars="1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268" w:firstLineChars="1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申报单位（公章）：</w:t>
            </w:r>
          </w:p>
          <w:p>
            <w:pPr>
              <w:snapToGrid w:val="0"/>
              <w:spacing w:line="560" w:lineRule="exact"/>
              <w:ind w:firstLine="268" w:firstLineChars="1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>负责人（签名）：</w:t>
            </w:r>
          </w:p>
          <w:p>
            <w:pPr>
              <w:spacing w:line="460" w:lineRule="exact"/>
              <w:ind w:right="532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             </w:t>
            </w:r>
          </w:p>
          <w:p>
            <w:pPr>
              <w:spacing w:line="460" w:lineRule="exact"/>
              <w:ind w:right="532" w:firstLine="1340" w:firstLineChars="500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九、山东省科协意见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914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 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                                     山东省科学技术协会（公章）</w:t>
            </w:r>
          </w:p>
          <w:p>
            <w:pPr>
              <w:snapToGrid w:val="0"/>
              <w:spacing w:line="56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                    </w:t>
            </w:r>
          </w:p>
          <w:p>
            <w:pPr>
              <w:snapToGrid w:val="0"/>
              <w:spacing w:line="560" w:lineRule="exact"/>
              <w:ind w:firstLine="6432" w:firstLineChars="240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28"/>
                <w:szCs w:val="28"/>
              </w:rPr>
              <w:t xml:space="preserve">  年   月   日</w:t>
            </w:r>
          </w:p>
        </w:tc>
      </w:tr>
      <w:bookmarkEnd w:id="0"/>
      <w:bookmarkEnd w:id="1"/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山东省大学生科技节创新创业讲座安排表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1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赛事名称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讲座题目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参加人数、场次</w:t>
            </w:r>
          </w:p>
        </w:tc>
        <w:tc>
          <w:tcPr>
            <w:tcW w:w="6597" w:type="dxa"/>
            <w:tcBorders>
              <w:top w:val="nil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时间、地点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参与企业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师资简介</w:t>
            </w:r>
          </w:p>
        </w:tc>
        <w:tc>
          <w:tcPr>
            <w:tcW w:w="659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讲授内容简介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597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方正小标宋" w:eastAsia="仿宋_GB2312" w:cs="方正小标宋"/>
          <w:szCs w:val="21"/>
        </w:rPr>
      </w:pPr>
    </w:p>
    <w:p>
      <w:pPr>
        <w:rPr>
          <w:rFonts w:ascii="仿宋_GB2312" w:hAnsi="方正小标宋" w:eastAsia="仿宋_GB2312" w:cs="方正小标宋"/>
          <w:szCs w:val="21"/>
        </w:rPr>
      </w:pPr>
    </w:p>
    <w:p>
      <w:pPr>
        <w:rPr>
          <w:rFonts w:ascii="仿宋_GB2312" w:hAnsi="方正小标宋" w:eastAsia="仿宋_GB2312" w:cs="方正小标宋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山东省大学生科技节赛事活动管理办法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为进一步加强山东省大学生科技节工作，规范赛事活动管理，确保各项赛事活动顺利实施，特制定本办法。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山东省大学生科技节由山东省科学技术协会（简称省科协）联合山东省教育厅（省委教育工委）、共青团山东省委、山东省发展和改革委员会、山东省工业和信息化厅、山东省人力资源和社会保障厅共同主办，省科协负责具体组织实施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赛事活动承办单位原则为全省性学会、协会、研究会（简称省级学会）、市科协。每项赛事活动可以一个单位单独承办，也可以多个单位联合承办。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赛事活动主要采用公开申报或定向委托方式确定承办单位。高校、企业、科研机构等可以和上述承办单位联合申报，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不接受个人直接申报。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申报单位依据年度印发的《关于申报山东省大学生科技节赛事活动的通知》，报送《山东省大学生科技节赛事活动申报书》及其他相关材料。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第六条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省科协负责组织对申报赛事活动进行审查和遴选。相同或相近赛事活动不重复设立（省级学会优先承办）。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省科协和其他主办单位共同发布年度大学生科技节赛事活动。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第八条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省科协代表主办单位与各赛事活动承办单位签订《山东省大学生科技节赛事活动合同书》，作为赛事实施、检查和验收的依据。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第九条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赛事活动须规范管理，在组织实施、新闻宣传、背景板使用、证书印制等工作中，严格主办单位，不得随意增减；严格使用省科协指定的科技节统一标志和背景板样式。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赛事活动承办单位要高度重视安全工作，有针对性地制定安全管理工作方案和应急救援预案，强化措施，明确责任，确保整个赛事活动安全。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赛事活动按照公开、公平、公正的原则进行比赛，严肃赛事纪律，严格赛事质量，严控获奖比例。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省科协安排人员参加赛事活动，并对活动内容进行视频采集。赛事活动承办单位应提前联系，做好相关配合工作。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第十三条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印制获奖证书，须提前向省科协报送获奖公示文件及名单，省科协批复后方可在指定单位印制。获奖名单报送后，不得随意增减更改。确有遗漏或出现错误需要更改的，须向省科协提交申请，经批准后方可印制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任何赛事活动不经报批不得使用主办单位印章。擅自使用的，将取消科技节赛事活动申办资格，并依据国家有关规定，由相关职能部门追究责任人责任。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赛事活动承办单位需按要求上报赛事新闻信息，以便在省科协官网等媒体宣传。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color w:val="000000"/>
          <w:sz w:val="32"/>
          <w:szCs w:val="32"/>
        </w:rPr>
        <w:t>赛事活动原则上在本年度10月底前完成，并于赛事活动结束后两周内，承办单位上报《山东省大学生科技节赛事活动信息反馈表》及赛事活动总结等相关材料。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第十六条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各赛事活动应重视培养和推荐优秀创客和优秀科技创新导师的工作。跟踪挖掘获奖学生典型案例，做好后续服务和资料留存。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大学生科技节闭幕式是年度科技节赛事活动的总结，各赛事活动承办单位应积极选派人员参加，并按要求完成相关工作任务。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赛事活动经费由承办单位负责。经费收支要严格执行国家有关财务规定，任何单位或个人不得以赛事活动名义谋取不当利益。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对在组织实施、新闻宣传、背景板使用、证书印制等工作中不执行本办法的赛事活动承办方，省科协将责令其限期改正，逾期不改的，两年内取消科技节赛事活动申办资格。</w:t>
      </w:r>
    </w:p>
    <w:p>
      <w:pPr>
        <w:adjustRightInd w:val="0"/>
        <w:snapToGrid w:val="0"/>
        <w:spacing w:line="560" w:lineRule="exact"/>
        <w:ind w:firstLine="63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第二十条  </w:t>
      </w:r>
      <w:r>
        <w:rPr>
          <w:rFonts w:hint="eastAsia" w:ascii="仿宋_GB2312" w:eastAsia="仿宋_GB2312"/>
          <w:color w:val="000000"/>
          <w:sz w:val="32"/>
          <w:szCs w:val="32"/>
        </w:rPr>
        <w:t>对赛事活动经费收支违纪违规，或以赛事活动为名义谋取不当利益的，将取消科技节赛事活动申办资格，并由相关职能部门依法处置。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本办法自公布之日起执行。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2018年1月24日</w:t>
      </w:r>
    </w:p>
    <w:p>
      <w:pPr>
        <w:adjustRightInd w:val="0"/>
        <w:snapToGrid w:val="0"/>
        <w:spacing w:line="560" w:lineRule="exact"/>
        <w:ind w:firstLine="631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 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41286"/>
    <w:rsid w:val="032A2422"/>
    <w:rsid w:val="06473B07"/>
    <w:rsid w:val="196D5F0E"/>
    <w:rsid w:val="1B503330"/>
    <w:rsid w:val="2AA342B3"/>
    <w:rsid w:val="2BC807C8"/>
    <w:rsid w:val="37941286"/>
    <w:rsid w:val="3912746D"/>
    <w:rsid w:val="3EF106B8"/>
    <w:rsid w:val="43AA5AA5"/>
    <w:rsid w:val="48B73469"/>
    <w:rsid w:val="4C8B3566"/>
    <w:rsid w:val="55AA6C45"/>
    <w:rsid w:val="65355732"/>
    <w:rsid w:val="68FA1120"/>
    <w:rsid w:val="6DC07406"/>
    <w:rsid w:val="6EA542B9"/>
    <w:rsid w:val="6F37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B6B6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6B6B6B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paragraph" w:customStyle="1" w:styleId="14">
    <w:name w:val="_Style 13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2019-01-10T03:26:00Z</dcterms:created>
  <dc:creator>独行侠</dc:creator>
  <cp:lastModifiedBy>独行侠</cp:lastModifiedBy>
  <dcterms:modified xsi:type="dcterms:W3CDTF">2019-01-10T06:42:04Z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