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7620"/>
        </w:tabs>
        <w:ind w:left="447" w:leftChars="213"/>
        <w:jc w:val="center"/>
        <w:rPr>
          <w:rFonts w:ascii="宋体" w:hAnsi="宋体" w:cs="宋体"/>
          <w:b/>
          <w:bCs/>
          <w:color w:val="000000"/>
          <w:sz w:val="40"/>
          <w:szCs w:val="40"/>
        </w:rPr>
      </w:pPr>
      <w:r>
        <w:rPr>
          <w:rFonts w:ascii="宋体" w:hAnsi="宋体" w:cs="宋体"/>
          <w:b/>
          <w:bCs/>
          <w:color w:val="000000"/>
          <w:sz w:val="40"/>
          <w:szCs w:val="40"/>
        </w:rPr>
        <w:t>关于</w:t>
      </w:r>
      <w:bookmarkStart w:id="0" w:name="_Hlk6854132"/>
      <w:r>
        <w:rPr>
          <w:rFonts w:ascii="宋体" w:hAnsi="宋体" w:cs="宋体"/>
          <w:b/>
          <w:bCs/>
          <w:color w:val="000000"/>
          <w:sz w:val="40"/>
          <w:szCs w:val="40"/>
        </w:rPr>
        <w:t>“</w:t>
      </w:r>
      <w:r>
        <w:rPr>
          <w:rFonts w:hint="eastAsia" w:ascii="宋体" w:hAnsi="宋体" w:cs="宋体"/>
          <w:b/>
          <w:bCs/>
          <w:color w:val="000000"/>
          <w:sz w:val="40"/>
          <w:szCs w:val="40"/>
        </w:rPr>
        <w:t>变废为宝</w:t>
      </w:r>
      <w:r>
        <w:rPr>
          <w:rFonts w:ascii="宋体" w:hAnsi="宋体" w:cs="宋体"/>
          <w:b/>
          <w:bCs/>
          <w:color w:val="000000"/>
          <w:sz w:val="40"/>
          <w:szCs w:val="40"/>
        </w:rPr>
        <w:t>”</w:t>
      </w:r>
      <w:r>
        <w:rPr>
          <w:rFonts w:hint="eastAsia" w:ascii="宋体" w:hAnsi="宋体" w:cs="宋体"/>
          <w:b/>
          <w:bCs/>
          <w:color w:val="000000"/>
          <w:sz w:val="40"/>
          <w:szCs w:val="40"/>
        </w:rPr>
        <w:t>环保D</w:t>
      </w:r>
      <w:r>
        <w:rPr>
          <w:rFonts w:ascii="宋体" w:hAnsi="宋体" w:cs="宋体"/>
          <w:b/>
          <w:bCs/>
          <w:color w:val="000000"/>
          <w:sz w:val="40"/>
          <w:szCs w:val="40"/>
        </w:rPr>
        <w:t>IY</w:t>
      </w:r>
      <w:r>
        <w:rPr>
          <w:rFonts w:hint="eastAsia" w:ascii="宋体" w:hAnsi="宋体" w:cs="宋体"/>
          <w:b/>
          <w:bCs/>
          <w:color w:val="000000"/>
          <w:sz w:val="40"/>
          <w:szCs w:val="40"/>
        </w:rPr>
        <w:t>设计大赛</w:t>
      </w:r>
      <w:bookmarkEnd w:id="0"/>
      <w:r>
        <w:rPr>
          <w:rFonts w:hint="eastAsia" w:ascii="宋体" w:hAnsi="宋体" w:cs="宋体"/>
          <w:b/>
          <w:bCs/>
          <w:color w:val="000000"/>
          <w:sz w:val="40"/>
          <w:szCs w:val="40"/>
        </w:rPr>
        <w:t>的通知</w:t>
      </w:r>
    </w:p>
    <w:p>
      <w:pPr>
        <w:tabs>
          <w:tab w:val="left" w:pos="7620"/>
        </w:tabs>
        <w:ind w:left="447" w:leftChars="213" w:firstLine="640" w:firstLineChars="200"/>
        <w:rPr>
          <w:rFonts w:ascii="仿宋" w:hAnsi="仿宋" w:eastAsia="仿宋" w:cs="仿宋"/>
          <w:sz w:val="32"/>
          <w:szCs w:val="32"/>
        </w:rPr>
      </w:pPr>
    </w:p>
    <w:p>
      <w:pPr>
        <w:tabs>
          <w:tab w:val="left" w:pos="7620"/>
        </w:tabs>
        <w:ind w:firstLine="640" w:firstLineChars="200"/>
        <w:rPr>
          <w:rFonts w:ascii="宋体" w:hAnsi="宋体" w:cs="宋体"/>
          <w:sz w:val="32"/>
          <w:szCs w:val="32"/>
        </w:rPr>
      </w:pPr>
      <w:r>
        <w:rPr>
          <w:rFonts w:hint="eastAsia" w:ascii="仿宋" w:hAnsi="仿宋" w:eastAsia="仿宋" w:cs="仿宋"/>
          <w:sz w:val="32"/>
          <w:szCs w:val="32"/>
        </w:rPr>
        <w:t>为</w:t>
      </w:r>
      <w:r>
        <w:rPr>
          <w:rStyle w:val="8"/>
          <w:rFonts w:hint="eastAsia" w:ascii="仿宋" w:hAnsi="仿宋" w:eastAsia="仿宋" w:cs="仿宋"/>
          <w:b w:val="0"/>
          <w:color w:val="000000"/>
          <w:sz w:val="32"/>
          <w:szCs w:val="32"/>
        </w:rPr>
        <w:t>提高大学生科技实力，激发同学走出宿舍，动手实践的热情，本着提高环保意识和创新绿色发展的目的，青岛农业大学资源与环境学院社联</w:t>
      </w:r>
      <w:r>
        <w:rPr>
          <w:rStyle w:val="8"/>
          <w:rFonts w:ascii="仿宋" w:hAnsi="仿宋" w:eastAsia="仿宋" w:cs="仿宋"/>
          <w:b w:val="0"/>
          <w:color w:val="000000"/>
          <w:sz w:val="32"/>
          <w:szCs w:val="32"/>
        </w:rPr>
        <w:t>和蓝丝带海洋保护</w:t>
      </w:r>
      <w:r>
        <w:rPr>
          <w:rStyle w:val="8"/>
          <w:rFonts w:hint="eastAsia" w:ascii="仿宋" w:hAnsi="仿宋" w:eastAsia="仿宋" w:cs="仿宋"/>
          <w:b w:val="0"/>
          <w:color w:val="000000"/>
          <w:sz w:val="32"/>
          <w:szCs w:val="32"/>
        </w:rPr>
        <w:t>青岛农业大学志愿者服务社</w:t>
      </w:r>
      <w:r>
        <w:rPr>
          <w:rFonts w:hint="eastAsia" w:ascii="仿宋" w:hAnsi="仿宋" w:eastAsia="仿宋" w:cs="仿宋"/>
          <w:sz w:val="32"/>
          <w:szCs w:val="32"/>
        </w:rPr>
        <w:t>在第八届社团文化节之际合</w:t>
      </w:r>
      <w:r>
        <w:rPr>
          <w:rStyle w:val="8"/>
          <w:rFonts w:hint="eastAsia" w:ascii="仿宋" w:hAnsi="仿宋" w:eastAsia="仿宋" w:cs="仿宋"/>
          <w:b w:val="0"/>
          <w:color w:val="000000"/>
          <w:sz w:val="32"/>
          <w:szCs w:val="32"/>
        </w:rPr>
        <w:t>办了本次“变废为宝”环保D</w:t>
      </w:r>
      <w:r>
        <w:rPr>
          <w:rStyle w:val="8"/>
          <w:rFonts w:ascii="仿宋" w:hAnsi="仿宋" w:eastAsia="仿宋" w:cs="仿宋"/>
          <w:b w:val="0"/>
          <w:color w:val="000000"/>
          <w:sz w:val="32"/>
          <w:szCs w:val="32"/>
        </w:rPr>
        <w:t>IY</w:t>
      </w:r>
      <w:r>
        <w:rPr>
          <w:rStyle w:val="8"/>
          <w:rFonts w:hint="eastAsia" w:ascii="仿宋" w:hAnsi="仿宋" w:eastAsia="仿宋" w:cs="仿宋"/>
          <w:b w:val="0"/>
          <w:color w:val="000000"/>
          <w:sz w:val="32"/>
          <w:szCs w:val="32"/>
        </w:rPr>
        <w:t>设计比赛，</w:t>
      </w:r>
      <w:r>
        <w:rPr>
          <w:rFonts w:hint="eastAsia" w:ascii="仿宋" w:hAnsi="仿宋" w:eastAsia="仿宋" w:cs="仿宋"/>
          <w:sz w:val="32"/>
          <w:szCs w:val="32"/>
        </w:rPr>
        <w:t>现将有关事宜通知如下：</w:t>
      </w:r>
    </w:p>
    <w:p>
      <w:pPr>
        <w:shd w:val="solid" w:color="FFFFFF" w:fill="auto"/>
        <w:autoSpaceDN w:val="0"/>
        <w:spacing w:line="560" w:lineRule="exact"/>
        <w:ind w:firstLine="640" w:firstLineChars="200"/>
        <w:rPr>
          <w:rFonts w:ascii="黑体" w:hAnsi="黑体" w:eastAsia="黑体" w:cs="宋体"/>
          <w:color w:val="191919"/>
          <w:sz w:val="32"/>
          <w:szCs w:val="32"/>
          <w:shd w:val="clear" w:color="auto" w:fill="FFFFFF"/>
        </w:rPr>
      </w:pPr>
      <w:r>
        <w:rPr>
          <w:rFonts w:hint="eastAsia" w:ascii="黑体" w:hAnsi="黑体" w:eastAsia="黑体" w:cs="宋体"/>
          <w:color w:val="191919"/>
          <w:sz w:val="32"/>
          <w:szCs w:val="32"/>
          <w:shd w:val="clear" w:color="auto" w:fill="FFFFFF"/>
        </w:rPr>
        <w:t>一、活动主题</w:t>
      </w:r>
    </w:p>
    <w:p>
      <w:pPr>
        <w:ind w:firstLine="640" w:firstLineChars="200"/>
        <w:rPr>
          <w:rFonts w:ascii="仿宋" w:hAnsi="仿宋" w:eastAsia="仿宋"/>
          <w:sz w:val="32"/>
          <w:szCs w:val="32"/>
        </w:rPr>
      </w:pPr>
      <w:r>
        <w:rPr>
          <w:rFonts w:hint="eastAsia" w:ascii="仿宋" w:hAnsi="仿宋" w:eastAsia="仿宋" w:cs="宋体"/>
          <w:color w:val="000000"/>
          <w:sz w:val="32"/>
          <w:szCs w:val="32"/>
        </w:rPr>
        <w:t>变废为宝，绿色发展</w:t>
      </w:r>
    </w:p>
    <w:p>
      <w:pPr>
        <w:tabs>
          <w:tab w:val="center" w:pos="4214"/>
          <w:tab w:val="right" w:pos="8306"/>
        </w:tabs>
        <w:spacing w:line="360" w:lineRule="auto"/>
        <w:ind w:firstLine="640" w:firstLineChars="200"/>
        <w:rPr>
          <w:rFonts w:ascii="黑体" w:hAnsi="黑体" w:eastAsia="黑体" w:cs="宋体"/>
          <w:sz w:val="32"/>
          <w:szCs w:val="32"/>
        </w:rPr>
      </w:pPr>
      <w:r>
        <w:rPr>
          <w:rFonts w:hint="eastAsia" w:ascii="黑体" w:hAnsi="黑体" w:eastAsia="黑体" w:cs="宋体"/>
          <w:sz w:val="32"/>
          <w:szCs w:val="32"/>
        </w:rPr>
        <w:t>二、活动时间</w:t>
      </w:r>
    </w:p>
    <w:p>
      <w:pPr>
        <w:ind w:firstLine="640" w:firstLineChars="200"/>
        <w:rPr>
          <w:rFonts w:ascii="仿宋" w:hAnsi="仿宋" w:eastAsia="仿宋"/>
          <w:sz w:val="32"/>
          <w:szCs w:val="32"/>
        </w:rPr>
      </w:pPr>
      <w:r>
        <w:rPr>
          <w:rFonts w:hint="eastAsia" w:ascii="仿宋" w:hAnsi="仿宋" w:eastAsia="仿宋" w:cs="宋体"/>
          <w:sz w:val="32"/>
          <w:szCs w:val="32"/>
        </w:rPr>
        <w:t>5月</w:t>
      </w:r>
      <w:r>
        <w:rPr>
          <w:rFonts w:ascii="仿宋" w:hAnsi="仿宋" w:eastAsia="仿宋" w:cs="宋体"/>
          <w:sz w:val="32"/>
          <w:szCs w:val="32"/>
        </w:rPr>
        <w:t>11</w:t>
      </w:r>
      <w:r>
        <w:rPr>
          <w:rFonts w:hint="eastAsia" w:ascii="仿宋" w:hAnsi="仿宋" w:eastAsia="仿宋" w:cs="宋体"/>
          <w:sz w:val="32"/>
          <w:szCs w:val="32"/>
        </w:rPr>
        <w:t>日-5月</w:t>
      </w:r>
      <w:r>
        <w:rPr>
          <w:rFonts w:ascii="仿宋" w:hAnsi="仿宋" w:eastAsia="仿宋" w:cs="宋体"/>
          <w:sz w:val="32"/>
          <w:szCs w:val="32"/>
        </w:rPr>
        <w:t>14</w:t>
      </w:r>
      <w:r>
        <w:rPr>
          <w:rFonts w:hint="eastAsia" w:ascii="仿宋" w:hAnsi="仿宋" w:eastAsia="仿宋" w:cs="宋体"/>
          <w:sz w:val="32"/>
          <w:szCs w:val="32"/>
        </w:rPr>
        <w:t>日</w:t>
      </w:r>
    </w:p>
    <w:p>
      <w:pPr>
        <w:shd w:val="solid" w:color="FFFFFF" w:fill="auto"/>
        <w:autoSpaceDN w:val="0"/>
        <w:spacing w:line="560" w:lineRule="exact"/>
        <w:ind w:firstLine="640" w:firstLineChars="200"/>
        <w:rPr>
          <w:rFonts w:ascii="黑体" w:hAnsi="黑体" w:eastAsia="黑体" w:cs="宋体"/>
          <w:sz w:val="32"/>
          <w:szCs w:val="32"/>
          <w:shd w:val="clear" w:color="auto" w:fill="FFFFFF"/>
        </w:rPr>
      </w:pPr>
      <w:r>
        <w:rPr>
          <w:rFonts w:hint="eastAsia" w:ascii="黑体" w:hAnsi="黑体" w:eastAsia="黑体" w:cs="宋体"/>
          <w:sz w:val="32"/>
          <w:szCs w:val="32"/>
          <w:shd w:val="clear" w:color="auto" w:fill="FFFFFF"/>
        </w:rPr>
        <w:t>三、活动地点</w:t>
      </w:r>
    </w:p>
    <w:p>
      <w:pPr>
        <w:tabs>
          <w:tab w:val="center" w:pos="4214"/>
          <w:tab w:val="right" w:pos="8306"/>
        </w:tabs>
        <w:spacing w:line="360" w:lineRule="auto"/>
        <w:ind w:firstLine="640" w:firstLineChars="200"/>
        <w:rPr>
          <w:rFonts w:ascii="仿宋" w:hAnsi="仿宋" w:eastAsia="仿宋" w:cs="宋体"/>
          <w:color w:val="333333"/>
          <w:sz w:val="32"/>
          <w:szCs w:val="32"/>
        </w:rPr>
      </w:pPr>
      <w:r>
        <w:rPr>
          <w:rFonts w:hint="eastAsia" w:ascii="仿宋" w:hAnsi="仿宋" w:eastAsia="仿宋" w:cs="宋体"/>
          <w:color w:val="333333"/>
          <w:sz w:val="32"/>
          <w:szCs w:val="32"/>
        </w:rPr>
        <w:t>东苑三号楼前</w:t>
      </w:r>
    </w:p>
    <w:p>
      <w:pPr>
        <w:shd w:val="solid" w:color="FFFFFF" w:fill="auto"/>
        <w:autoSpaceDN w:val="0"/>
        <w:spacing w:line="560" w:lineRule="exact"/>
        <w:ind w:firstLine="640" w:firstLineChars="200"/>
        <w:rPr>
          <w:rFonts w:ascii="黑体" w:hAnsi="黑体" w:eastAsia="黑体" w:cs="宋体"/>
          <w:color w:val="191919"/>
          <w:sz w:val="32"/>
          <w:szCs w:val="32"/>
          <w:shd w:val="clear" w:color="auto" w:fill="FFFFFF"/>
        </w:rPr>
      </w:pPr>
      <w:r>
        <w:rPr>
          <w:rFonts w:hint="eastAsia" w:ascii="黑体" w:hAnsi="黑体" w:eastAsia="黑体" w:cs="宋体"/>
          <w:color w:val="191919"/>
          <w:sz w:val="32"/>
          <w:szCs w:val="32"/>
          <w:shd w:val="clear" w:color="auto" w:fill="FFFFFF"/>
        </w:rPr>
        <w:t>四、参赛对象</w:t>
      </w:r>
    </w:p>
    <w:p>
      <w:pPr>
        <w:shd w:val="solid" w:color="FFFFFF" w:fill="auto"/>
        <w:autoSpaceDN w:val="0"/>
        <w:spacing w:line="560" w:lineRule="exact"/>
        <w:ind w:firstLine="624" w:firstLineChars="200"/>
        <w:rPr>
          <w:rFonts w:ascii="仿宋" w:hAnsi="仿宋" w:eastAsia="仿宋"/>
          <w:spacing w:val="-4"/>
          <w:kern w:val="11"/>
          <w:position w:val="-2"/>
          <w:sz w:val="32"/>
          <w:szCs w:val="32"/>
        </w:rPr>
      </w:pPr>
      <w:r>
        <w:rPr>
          <w:rFonts w:hint="eastAsia" w:ascii="仿宋" w:hAnsi="仿宋" w:eastAsia="仿宋"/>
          <w:spacing w:val="-4"/>
          <w:kern w:val="11"/>
          <w:position w:val="-2"/>
          <w:sz w:val="32"/>
          <w:szCs w:val="32"/>
        </w:rPr>
        <w:t>青岛农业大学全日制在校大学生</w:t>
      </w:r>
    </w:p>
    <w:p>
      <w:pPr>
        <w:tabs>
          <w:tab w:val="center" w:pos="4214"/>
          <w:tab w:val="right" w:pos="8306"/>
        </w:tabs>
        <w:spacing w:line="360" w:lineRule="auto"/>
        <w:ind w:firstLine="640" w:firstLineChars="200"/>
        <w:rPr>
          <w:rFonts w:ascii="黑体" w:hAnsi="黑体" w:eastAsia="黑体" w:cs="宋体"/>
          <w:sz w:val="32"/>
          <w:szCs w:val="32"/>
        </w:rPr>
      </w:pPr>
      <w:r>
        <w:rPr>
          <w:rFonts w:hint="eastAsia" w:ascii="黑体" w:hAnsi="黑体" w:eastAsia="黑体" w:cs="宋体"/>
          <w:sz w:val="32"/>
          <w:szCs w:val="32"/>
        </w:rPr>
        <w:t>五、活动安排</w:t>
      </w:r>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报名方式：</w:t>
      </w:r>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各个学院在初赛（各学院自定时间）结束后推选5个优秀作品进入</w:t>
      </w:r>
      <w:r>
        <w:rPr>
          <w:rFonts w:ascii="仿宋" w:hAnsi="仿宋" w:eastAsia="仿宋" w:cs="宋体"/>
          <w:sz w:val="32"/>
          <w:szCs w:val="32"/>
        </w:rPr>
        <w:t>复</w:t>
      </w:r>
      <w:r>
        <w:rPr>
          <w:rFonts w:hint="eastAsia" w:ascii="仿宋" w:hAnsi="仿宋" w:eastAsia="仿宋" w:cs="宋体"/>
          <w:sz w:val="32"/>
          <w:szCs w:val="32"/>
        </w:rPr>
        <w:t>赛并填写</w:t>
      </w:r>
      <w:r>
        <w:rPr>
          <w:rFonts w:ascii="仿宋" w:hAnsi="仿宋" w:eastAsia="仿宋" w:cs="宋体"/>
          <w:sz w:val="32"/>
          <w:szCs w:val="32"/>
        </w:rPr>
        <w:t>复</w:t>
      </w:r>
      <w:r>
        <w:rPr>
          <w:rFonts w:hint="eastAsia" w:ascii="仿宋" w:hAnsi="仿宋" w:eastAsia="仿宋" w:cs="宋体"/>
          <w:sz w:val="32"/>
          <w:szCs w:val="32"/>
        </w:rPr>
        <w:t>赛报名表（见附表）。</w:t>
      </w:r>
      <w:r>
        <w:rPr>
          <w:rFonts w:ascii="仿宋" w:hAnsi="仿宋" w:eastAsia="仿宋" w:cs="宋体"/>
          <w:sz w:val="32"/>
          <w:szCs w:val="32"/>
        </w:rPr>
        <w:t>以学院为单位上交参赛作品（初赛评出的5个优秀作品）和作品设计理念，电子版（参赛作品的正、侧、后图片和参赛作品电子版设计理念）和实物各一份。参赛作品在5月10日前交至西苑餐厅四楼C3（上交时间：5月6日-5月10日上午 8：00-11：35 ，下午 2：30-18：30），</w:t>
      </w:r>
      <w:r>
        <w:rPr>
          <w:rFonts w:hint="eastAsia" w:ascii="仿宋" w:hAnsi="仿宋" w:eastAsia="仿宋" w:cs="宋体"/>
          <w:sz w:val="32"/>
          <w:szCs w:val="32"/>
        </w:rPr>
        <w:t>报名表以学院为单位发送至资源与环境学院社团联合会组织策划部邮箱（17806277831@163.com）</w:t>
      </w:r>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比赛流程：</w:t>
      </w:r>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各个学院在学院内部举办“变废为宝”环保DIY设计大赛初赛。初赛结束后，评选出5个优秀作品</w:t>
      </w:r>
      <w:r>
        <w:rPr>
          <w:rFonts w:ascii="仿宋" w:hAnsi="仿宋" w:eastAsia="仿宋" w:cs="宋体"/>
          <w:sz w:val="32"/>
          <w:szCs w:val="32"/>
        </w:rPr>
        <w:t>。资环分社联和蓝丝带海洋保护协会工作人员会根据作品内容安排线上线下投票，评选最终奖项。作品展时间地点另行通知。</w:t>
      </w:r>
    </w:p>
    <w:p>
      <w:pPr>
        <w:spacing w:line="360" w:lineRule="auto"/>
        <w:ind w:firstLine="640" w:firstLineChars="200"/>
        <w:rPr>
          <w:rFonts w:ascii="黑体" w:hAnsi="黑体" w:eastAsia="黑体" w:cs="宋体"/>
          <w:sz w:val="32"/>
          <w:szCs w:val="32"/>
        </w:rPr>
      </w:pPr>
      <w:r>
        <w:rPr>
          <w:rFonts w:hint="eastAsia" w:ascii="黑体" w:hAnsi="黑体" w:eastAsia="黑体" w:cs="宋体"/>
          <w:sz w:val="32"/>
          <w:szCs w:val="32"/>
        </w:rPr>
        <w:t>六、奖项设置</w:t>
      </w:r>
    </w:p>
    <w:p>
      <w:pPr>
        <w:spacing w:line="360" w:lineRule="auto"/>
        <w:ind w:firstLine="624" w:firstLineChars="200"/>
        <w:rPr>
          <w:rFonts w:ascii="仿宋" w:hAnsi="仿宋" w:eastAsia="仿宋"/>
          <w:spacing w:val="-4"/>
          <w:kern w:val="11"/>
          <w:position w:val="-2"/>
          <w:sz w:val="32"/>
          <w:szCs w:val="32"/>
        </w:rPr>
      </w:pPr>
      <w:r>
        <w:rPr>
          <w:rFonts w:hint="eastAsia" w:ascii="仿宋" w:hAnsi="仿宋" w:eastAsia="仿宋"/>
          <w:spacing w:val="-4"/>
          <w:kern w:val="11"/>
          <w:position w:val="-2"/>
          <w:sz w:val="32"/>
          <w:szCs w:val="32"/>
        </w:rPr>
        <w:t>本次活动由资源与环境学院、蓝丝带海洋保护协会代表评审小组进行评审。共设选拔参赛选手前40%进入决赛，按照10%、20%、30%、40%比例设定一等奖、二等奖、三等奖及优胜奖。</w:t>
      </w:r>
    </w:p>
    <w:p>
      <w:pPr>
        <w:spacing w:line="360" w:lineRule="auto"/>
        <w:ind w:firstLine="624" w:firstLineChars="200"/>
        <w:rPr>
          <w:rFonts w:ascii="黑体" w:hAnsi="黑体" w:eastAsia="黑体" w:cs="宋体"/>
          <w:sz w:val="32"/>
          <w:szCs w:val="32"/>
        </w:rPr>
      </w:pPr>
      <w:r>
        <w:rPr>
          <w:rFonts w:hint="eastAsia" w:ascii="黑体" w:hAnsi="黑体" w:eastAsia="黑体" w:cs="宋体"/>
          <w:color w:val="000000"/>
          <w:spacing w:val="-4"/>
          <w:kern w:val="11"/>
          <w:position w:val="-2"/>
          <w:sz w:val="32"/>
          <w:szCs w:val="32"/>
        </w:rPr>
        <w:t>七</w:t>
      </w:r>
      <w:r>
        <w:rPr>
          <w:rFonts w:hint="eastAsia" w:ascii="黑体" w:hAnsi="黑体" w:eastAsia="黑体" w:cs="宋体"/>
          <w:sz w:val="32"/>
          <w:szCs w:val="32"/>
        </w:rPr>
        <w:t xml:space="preserve"> 、注意事项</w:t>
      </w:r>
    </w:p>
    <w:p>
      <w:pPr>
        <w:spacing w:line="360" w:lineRule="auto"/>
        <w:ind w:firstLine="624" w:firstLineChars="200"/>
        <w:rPr>
          <w:rFonts w:ascii="仿宋" w:hAnsi="仿宋" w:eastAsia="仿宋" w:cs="宋体"/>
          <w:sz w:val="32"/>
          <w:szCs w:val="32"/>
        </w:rPr>
      </w:pPr>
      <w:r>
        <w:rPr>
          <w:rFonts w:hint="eastAsia" w:ascii="仿宋" w:hAnsi="仿宋" w:eastAsia="仿宋"/>
          <w:spacing w:val="-4"/>
          <w:kern w:val="11"/>
          <w:position w:val="-2"/>
          <w:sz w:val="32"/>
          <w:szCs w:val="32"/>
        </w:rPr>
        <w:t>本次参赛作品最终解释权归资环学院社团联合会分会、蓝丝带海洋保护协会所有，未尽事宜另行通知。</w:t>
      </w:r>
    </w:p>
    <w:p>
      <w:pPr>
        <w:spacing w:line="360" w:lineRule="auto"/>
        <w:ind w:firstLine="640" w:firstLineChars="200"/>
        <w:rPr>
          <w:rFonts w:ascii="黑体" w:hAnsi="黑体" w:eastAsia="黑体" w:cs="宋体"/>
          <w:sz w:val="32"/>
          <w:szCs w:val="32"/>
        </w:rPr>
      </w:pPr>
      <w:r>
        <w:rPr>
          <w:rFonts w:hint="eastAsia" w:ascii="黑体" w:hAnsi="黑体" w:eastAsia="黑体" w:cs="宋体"/>
          <w:sz w:val="32"/>
          <w:szCs w:val="32"/>
        </w:rPr>
        <w:t>八、联系方式</w:t>
      </w:r>
    </w:p>
    <w:p>
      <w:pPr>
        <w:spacing w:line="360" w:lineRule="auto"/>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变废为宝</w:t>
      </w:r>
      <w:r>
        <w:rPr>
          <w:rFonts w:ascii="仿宋" w:hAnsi="仿宋" w:eastAsia="仿宋"/>
          <w:sz w:val="32"/>
          <w:szCs w:val="32"/>
        </w:rPr>
        <w:t>”</w:t>
      </w:r>
      <w:r>
        <w:rPr>
          <w:rFonts w:hint="eastAsia" w:ascii="仿宋" w:hAnsi="仿宋" w:eastAsia="仿宋"/>
          <w:sz w:val="32"/>
          <w:szCs w:val="32"/>
        </w:rPr>
        <w:t>环保D</w:t>
      </w:r>
      <w:r>
        <w:rPr>
          <w:rFonts w:ascii="仿宋" w:hAnsi="仿宋" w:eastAsia="仿宋"/>
          <w:sz w:val="32"/>
          <w:szCs w:val="32"/>
        </w:rPr>
        <w:t>IY</w:t>
      </w:r>
      <w:r>
        <w:rPr>
          <w:rFonts w:hint="eastAsia" w:ascii="仿宋" w:hAnsi="仿宋" w:eastAsia="仿宋"/>
          <w:sz w:val="32"/>
          <w:szCs w:val="32"/>
        </w:rPr>
        <w:t>设计大赛负责人</w:t>
      </w:r>
    </w:p>
    <w:p>
      <w:pPr>
        <w:spacing w:line="360" w:lineRule="auto"/>
        <w:ind w:firstLine="640" w:firstLineChars="200"/>
        <w:rPr>
          <w:rFonts w:ascii="仿宋" w:hAnsi="仿宋" w:eastAsia="仿宋" w:cs="宋体"/>
          <w:sz w:val="32"/>
          <w:szCs w:val="32"/>
        </w:rPr>
      </w:pPr>
      <w:r>
        <w:rPr>
          <w:rFonts w:ascii="仿宋" w:hAnsi="仿宋" w:eastAsia="仿宋"/>
          <w:sz w:val="32"/>
          <w:szCs w:val="32"/>
        </w:rPr>
        <w:t>任艳欣</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QQ</w:t>
      </w:r>
      <w:r>
        <w:rPr>
          <w:rFonts w:ascii="仿宋" w:hAnsi="仿宋" w:eastAsia="仿宋"/>
          <w:sz w:val="32"/>
          <w:szCs w:val="32"/>
        </w:rPr>
        <w:t xml:space="preserve"> </w:t>
      </w:r>
      <w:r>
        <w:rPr>
          <w:rFonts w:hint="eastAsia" w:ascii="仿宋" w:hAnsi="仿宋" w:eastAsia="仿宋"/>
          <w:sz w:val="32"/>
          <w:szCs w:val="32"/>
        </w:rPr>
        <w:t>：</w:t>
      </w:r>
      <w:r>
        <w:rPr>
          <w:rFonts w:ascii="仿宋" w:hAnsi="仿宋" w:eastAsia="仿宋"/>
          <w:sz w:val="32"/>
          <w:szCs w:val="32"/>
        </w:rPr>
        <w:t xml:space="preserve">2261642062     </w:t>
      </w:r>
      <w:r>
        <w:rPr>
          <w:rFonts w:hint="eastAsia" w:ascii="仿宋" w:hAnsi="仿宋" w:eastAsia="仿宋"/>
          <w:sz w:val="32"/>
          <w:szCs w:val="32"/>
        </w:rPr>
        <w:t>手机：1</w:t>
      </w:r>
      <w:r>
        <w:rPr>
          <w:rFonts w:ascii="仿宋" w:hAnsi="仿宋" w:eastAsia="仿宋"/>
          <w:sz w:val="32"/>
          <w:szCs w:val="32"/>
        </w:rPr>
        <w:t>7860725121</w:t>
      </w:r>
      <w:r>
        <w:rPr>
          <w:rFonts w:hint="eastAsia" w:ascii="仿宋" w:hAnsi="仿宋" w:eastAsia="仿宋" w:cs="宋体"/>
          <w:sz w:val="32"/>
          <w:szCs w:val="32"/>
        </w:rPr>
        <w:t xml:space="preserve"> </w:t>
      </w:r>
    </w:p>
    <w:p>
      <w:pPr>
        <w:spacing w:line="360" w:lineRule="auto"/>
        <w:ind w:firstLine="640" w:firstLineChars="200"/>
        <w:rPr>
          <w:rFonts w:ascii="仿宋" w:hAnsi="仿宋" w:eastAsia="仿宋" w:cs="宋体"/>
          <w:sz w:val="32"/>
          <w:szCs w:val="32"/>
        </w:rPr>
      </w:pPr>
    </w:p>
    <w:p>
      <w:pPr>
        <w:spacing w:line="360" w:lineRule="auto"/>
        <w:ind w:firstLine="640" w:firstLineChars="200"/>
        <w:rPr>
          <w:rFonts w:ascii="仿宋" w:hAnsi="仿宋" w:eastAsia="仿宋" w:cs="宋体"/>
          <w:sz w:val="32"/>
          <w:szCs w:val="32"/>
        </w:rPr>
      </w:pPr>
    </w:p>
    <w:p>
      <w:pPr>
        <w:spacing w:after="56"/>
        <w:ind w:firstLine="390"/>
        <w:rPr>
          <w:rFonts w:ascii="仿宋" w:hAnsi="仿宋" w:eastAsia="仿宋"/>
          <w:sz w:val="32"/>
          <w:szCs w:val="32"/>
        </w:rPr>
      </w:pPr>
      <w:r>
        <w:rPr>
          <w:rFonts w:hint="eastAsia" w:ascii="仿宋" w:hAnsi="仿宋" w:eastAsia="仿宋"/>
          <w:sz w:val="32"/>
          <w:szCs w:val="32"/>
        </w:rPr>
        <w:t xml:space="preserve">                 青岛农业大学资环学院社团联合会</w:t>
      </w:r>
    </w:p>
    <w:p>
      <w:pPr>
        <w:ind w:firstLine="1837"/>
        <w:rPr>
          <w:rFonts w:ascii="仿宋" w:hAnsi="仿宋" w:eastAsia="仿宋" w:cs="宋体"/>
          <w:kern w:val="0"/>
          <w:sz w:val="32"/>
          <w:szCs w:val="32"/>
        </w:rPr>
      </w:pPr>
      <w:r>
        <w:rPr>
          <w:rFonts w:hint="eastAsia" w:ascii="仿宋" w:hAnsi="仿宋" w:eastAsia="仿宋" w:cs="宋体"/>
          <w:kern w:val="0"/>
          <w:sz w:val="32"/>
          <w:szCs w:val="32"/>
        </w:rPr>
        <w:t>蓝丝带海洋保护青岛农业大学志愿者服</w:t>
      </w:r>
      <w:bookmarkStart w:id="1" w:name="_GoBack"/>
      <w:bookmarkEnd w:id="1"/>
      <w:r>
        <w:rPr>
          <w:rFonts w:hint="eastAsia" w:ascii="仿宋" w:hAnsi="仿宋" w:eastAsia="仿宋" w:cs="宋体"/>
          <w:kern w:val="0"/>
          <w:sz w:val="32"/>
          <w:szCs w:val="32"/>
        </w:rPr>
        <w:t>务社</w:t>
      </w:r>
      <w:r>
        <w:rPr>
          <w:rFonts w:hint="eastAsia" w:ascii="仿宋" w:hAnsi="仿宋" w:eastAsia="仿宋" w:cs="宋体"/>
          <w:kern w:val="0"/>
          <w:sz w:val="32"/>
          <w:szCs w:val="32"/>
        </w:rPr>
        <w:br w:type="textWrapping"/>
      </w:r>
      <w:r>
        <w:rPr>
          <w:rFonts w:hint="eastAsia" w:ascii="仿宋" w:hAnsi="仿宋" w:eastAsia="仿宋" w:cs="宋体"/>
          <w:kern w:val="0"/>
          <w:sz w:val="32"/>
          <w:szCs w:val="32"/>
        </w:rPr>
        <w:t xml:space="preserve">                                 201</w:t>
      </w:r>
      <w:r>
        <w:rPr>
          <w:rFonts w:ascii="仿宋" w:hAnsi="仿宋" w:eastAsia="仿宋" w:cs="宋体"/>
          <w:kern w:val="0"/>
          <w:sz w:val="32"/>
          <w:szCs w:val="32"/>
        </w:rPr>
        <w:t>9</w:t>
      </w:r>
      <w:r>
        <w:rPr>
          <w:rFonts w:hint="eastAsia" w:ascii="仿宋" w:hAnsi="仿宋" w:eastAsia="仿宋" w:cs="宋体"/>
          <w:kern w:val="0"/>
          <w:sz w:val="32"/>
          <w:szCs w:val="32"/>
        </w:rPr>
        <w:t xml:space="preserve">年4月 </w:t>
      </w:r>
      <w:r>
        <w:rPr>
          <w:rFonts w:ascii="仿宋" w:hAnsi="仿宋" w:eastAsia="仿宋" w:cs="宋体"/>
          <w:kern w:val="0"/>
          <w:sz w:val="32"/>
          <w:szCs w:val="32"/>
        </w:rPr>
        <w:t>22</w:t>
      </w:r>
      <w:r>
        <w:rPr>
          <w:rFonts w:hint="eastAsia" w:ascii="仿宋" w:hAnsi="仿宋" w:eastAsia="仿宋" w:cs="宋体"/>
          <w:kern w:val="0"/>
          <w:sz w:val="32"/>
          <w:szCs w:val="32"/>
        </w:rPr>
        <w:t>日</w:t>
      </w:r>
    </w:p>
    <w:p>
      <w:pPr>
        <w:ind w:firstLine="1837"/>
        <w:rPr>
          <w:rFonts w:ascii="仿宋" w:hAnsi="仿宋" w:eastAsia="仿宋" w:cs="宋体"/>
          <w:kern w:val="0"/>
          <w:sz w:val="32"/>
          <w:szCs w:val="32"/>
        </w:rPr>
      </w:pPr>
    </w:p>
    <w:p>
      <w:pPr>
        <w:ind w:firstLine="1837"/>
        <w:rPr>
          <w:rFonts w:ascii="仿宋" w:hAnsi="仿宋" w:eastAsia="仿宋" w:cs="宋体"/>
          <w:kern w:val="0"/>
          <w:sz w:val="32"/>
          <w:szCs w:val="32"/>
        </w:rPr>
      </w:pPr>
    </w:p>
    <w:p>
      <w:pPr>
        <w:widowControl/>
        <w:jc w:val="left"/>
        <w:rPr>
          <w:rFonts w:ascii="仿宋" w:hAnsi="仿宋" w:eastAsia="仿宋" w:cs="宋体"/>
          <w:b/>
          <w:bCs/>
          <w:kern w:val="0"/>
          <w:sz w:val="32"/>
          <w:szCs w:val="32"/>
        </w:rPr>
      </w:pPr>
      <w:r>
        <w:rPr>
          <w:rFonts w:ascii="仿宋" w:hAnsi="仿宋" w:eastAsia="仿宋" w:cs="宋体"/>
          <w:b/>
          <w:bCs/>
          <w:kern w:val="0"/>
          <w:sz w:val="32"/>
          <w:szCs w:val="32"/>
        </w:rPr>
        <w:br w:type="page"/>
      </w:r>
    </w:p>
    <w:p>
      <w:pPr>
        <w:rPr>
          <w:rFonts w:ascii="仿宋" w:hAnsi="仿宋" w:eastAsia="仿宋" w:cs="宋体"/>
          <w:b/>
          <w:bCs/>
          <w:kern w:val="0"/>
          <w:sz w:val="32"/>
          <w:szCs w:val="32"/>
        </w:rPr>
      </w:pPr>
    </w:p>
    <w:p>
      <w:pPr>
        <w:rPr>
          <w:rFonts w:ascii="仿宋" w:hAnsi="仿宋" w:eastAsia="仿宋" w:cs="宋体"/>
          <w:b/>
          <w:bCs/>
          <w:kern w:val="0"/>
          <w:sz w:val="32"/>
          <w:szCs w:val="32"/>
        </w:rPr>
      </w:pPr>
      <w:r>
        <w:rPr>
          <w:rFonts w:ascii="仿宋" w:hAnsi="仿宋" w:eastAsia="仿宋" w:cs="宋体"/>
          <w:b/>
          <w:bCs/>
          <w:kern w:val="0"/>
          <w:sz w:val="32"/>
          <w:szCs w:val="32"/>
        </w:rPr>
        <w:t>附表1</w:t>
      </w:r>
    </w:p>
    <w:tbl>
      <w:tblPr>
        <w:tblStyle w:val="6"/>
        <w:tblW w:w="8522" w:type="dxa"/>
        <w:tblInd w:w="0" w:type="dxa"/>
        <w:tblLayout w:type="fixed"/>
        <w:tblCellMar>
          <w:top w:w="0" w:type="dxa"/>
          <w:left w:w="108" w:type="dxa"/>
          <w:bottom w:w="0" w:type="dxa"/>
          <w:right w:w="108" w:type="dxa"/>
        </w:tblCellMar>
      </w:tblPr>
      <w:tblGrid>
        <w:gridCol w:w="1101"/>
        <w:gridCol w:w="1739"/>
        <w:gridCol w:w="1420"/>
        <w:gridCol w:w="1235"/>
        <w:gridCol w:w="1417"/>
        <w:gridCol w:w="1610"/>
      </w:tblGrid>
      <w:tr>
        <w:tblPrEx>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jc w:val="center"/>
            </w:pPr>
            <w:r>
              <w:rPr>
                <w:rFonts w:ascii="宋体" w:hAnsi="宋体"/>
                <w:sz w:val="28"/>
                <w:szCs w:val="28"/>
              </w:rPr>
              <w:t>序号</w:t>
            </w:r>
          </w:p>
        </w:tc>
        <w:tc>
          <w:tcPr>
            <w:tcW w:w="1739" w:type="dxa"/>
            <w:tcBorders>
              <w:top w:val="single" w:color="auto" w:sz="4" w:space="0"/>
              <w:left w:val="single" w:color="auto" w:sz="4" w:space="0"/>
              <w:bottom w:val="single" w:color="auto" w:sz="4" w:space="0"/>
              <w:right w:val="single" w:color="auto" w:sz="4" w:space="0"/>
            </w:tcBorders>
          </w:tcPr>
          <w:p>
            <w:pPr>
              <w:jc w:val="center"/>
            </w:pPr>
            <w:r>
              <w:rPr>
                <w:rFonts w:ascii="宋体" w:hAnsi="宋体"/>
                <w:sz w:val="28"/>
                <w:szCs w:val="28"/>
              </w:rPr>
              <w:t>学院</w:t>
            </w:r>
          </w:p>
        </w:tc>
        <w:tc>
          <w:tcPr>
            <w:tcW w:w="1420" w:type="dxa"/>
            <w:tcBorders>
              <w:top w:val="single" w:color="auto" w:sz="4" w:space="0"/>
              <w:left w:val="single" w:color="auto" w:sz="4" w:space="0"/>
              <w:bottom w:val="single" w:color="auto" w:sz="4" w:space="0"/>
              <w:right w:val="single" w:color="auto" w:sz="4" w:space="0"/>
            </w:tcBorders>
          </w:tcPr>
          <w:p>
            <w:pPr>
              <w:jc w:val="center"/>
            </w:pPr>
            <w:r>
              <w:rPr>
                <w:rFonts w:ascii="宋体" w:hAnsi="宋体"/>
                <w:sz w:val="28"/>
                <w:szCs w:val="28"/>
              </w:rPr>
              <w:t>专业班级</w:t>
            </w:r>
          </w:p>
        </w:tc>
        <w:tc>
          <w:tcPr>
            <w:tcW w:w="1235" w:type="dxa"/>
            <w:tcBorders>
              <w:top w:val="single" w:color="auto" w:sz="4" w:space="0"/>
              <w:left w:val="single" w:color="auto" w:sz="4" w:space="0"/>
              <w:bottom w:val="single" w:color="auto" w:sz="4" w:space="0"/>
              <w:right w:val="single" w:color="auto" w:sz="4" w:space="0"/>
            </w:tcBorders>
          </w:tcPr>
          <w:p>
            <w:pPr>
              <w:jc w:val="center"/>
            </w:pPr>
            <w:r>
              <w:rPr>
                <w:rFonts w:ascii="宋体" w:hAnsi="宋体"/>
                <w:sz w:val="28"/>
                <w:szCs w:val="28"/>
              </w:rPr>
              <w:t>姓名</w:t>
            </w:r>
          </w:p>
        </w:tc>
        <w:tc>
          <w:tcPr>
            <w:tcW w:w="1417" w:type="dxa"/>
            <w:tcBorders>
              <w:top w:val="single" w:color="auto" w:sz="4" w:space="0"/>
              <w:left w:val="single" w:color="auto" w:sz="4" w:space="0"/>
              <w:bottom w:val="single" w:color="auto" w:sz="4" w:space="0"/>
              <w:right w:val="single" w:color="auto" w:sz="4" w:space="0"/>
            </w:tcBorders>
          </w:tcPr>
          <w:p>
            <w:pPr>
              <w:jc w:val="center"/>
            </w:pPr>
            <w:r>
              <w:rPr>
                <w:rFonts w:ascii="宋体" w:hAnsi="宋体"/>
                <w:sz w:val="28"/>
                <w:szCs w:val="28"/>
              </w:rPr>
              <w:t>作品名称</w:t>
            </w:r>
          </w:p>
        </w:tc>
        <w:tc>
          <w:tcPr>
            <w:tcW w:w="1610" w:type="dxa"/>
            <w:tcBorders>
              <w:top w:val="single" w:color="auto" w:sz="4" w:space="0"/>
              <w:left w:val="single" w:color="auto" w:sz="4" w:space="0"/>
              <w:bottom w:val="single" w:color="auto" w:sz="4" w:space="0"/>
              <w:right w:val="single" w:color="auto" w:sz="4" w:space="0"/>
            </w:tcBorders>
          </w:tcPr>
          <w:p>
            <w:pPr>
              <w:jc w:val="center"/>
            </w:pPr>
            <w:r>
              <w:rPr>
                <w:rFonts w:ascii="宋体" w:hAnsi="宋体"/>
                <w:sz w:val="28"/>
                <w:szCs w:val="28"/>
              </w:rPr>
              <w:t>联系方式</w:t>
            </w:r>
          </w:p>
        </w:tc>
      </w:tr>
      <w:tr>
        <w:tblPrEx>
          <w:tblLayout w:type="fixed"/>
        </w:tblPrEx>
        <w:tc>
          <w:tcPr>
            <w:tcW w:w="1101" w:type="dxa"/>
            <w:tcBorders>
              <w:top w:val="single" w:color="auto" w:sz="4" w:space="0"/>
              <w:left w:val="single" w:color="auto" w:sz="4" w:space="0"/>
              <w:bottom w:val="single" w:color="auto" w:sz="4" w:space="0"/>
              <w:right w:val="single" w:color="auto" w:sz="4" w:space="0"/>
            </w:tcBorders>
          </w:tcPr>
          <w:p>
            <w:pPr>
              <w:jc w:val="center"/>
            </w:pPr>
          </w:p>
        </w:tc>
        <w:tc>
          <w:tcPr>
            <w:tcW w:w="1739" w:type="dxa"/>
            <w:tcBorders>
              <w:top w:val="single" w:color="auto" w:sz="4" w:space="0"/>
              <w:left w:val="single" w:color="auto" w:sz="4" w:space="0"/>
              <w:bottom w:val="single" w:color="auto" w:sz="4" w:space="0"/>
              <w:right w:val="single" w:color="auto" w:sz="4" w:space="0"/>
            </w:tcBorders>
          </w:tcPr>
          <w:p>
            <w:pPr>
              <w:jc w:val="center"/>
            </w:pPr>
          </w:p>
        </w:tc>
        <w:tc>
          <w:tcPr>
            <w:tcW w:w="1420" w:type="dxa"/>
            <w:tcBorders>
              <w:top w:val="single" w:color="auto" w:sz="4" w:space="0"/>
              <w:left w:val="single" w:color="auto" w:sz="4" w:space="0"/>
              <w:bottom w:val="single" w:color="auto" w:sz="4" w:space="0"/>
              <w:right w:val="single" w:color="auto" w:sz="4" w:space="0"/>
            </w:tcBorders>
          </w:tcPr>
          <w:p>
            <w:pPr>
              <w:jc w:val="center"/>
            </w:pPr>
          </w:p>
        </w:tc>
        <w:tc>
          <w:tcPr>
            <w:tcW w:w="1235" w:type="dxa"/>
            <w:tcBorders>
              <w:top w:val="single" w:color="auto" w:sz="4" w:space="0"/>
              <w:left w:val="single" w:color="auto" w:sz="4" w:space="0"/>
              <w:bottom w:val="single" w:color="auto" w:sz="4" w:space="0"/>
              <w:right w:val="single" w:color="auto" w:sz="4" w:space="0"/>
            </w:tcBorders>
          </w:tcPr>
          <w:p>
            <w:pPr>
              <w:jc w:val="center"/>
            </w:pPr>
          </w:p>
        </w:tc>
        <w:tc>
          <w:tcPr>
            <w:tcW w:w="1417" w:type="dxa"/>
            <w:tcBorders>
              <w:top w:val="single" w:color="auto" w:sz="4" w:space="0"/>
              <w:left w:val="single" w:color="auto" w:sz="4" w:space="0"/>
              <w:bottom w:val="single" w:color="auto" w:sz="4" w:space="0"/>
              <w:right w:val="single" w:color="auto" w:sz="4" w:space="0"/>
            </w:tcBorders>
          </w:tcPr>
          <w:p>
            <w:pPr>
              <w:jc w:val="center"/>
            </w:pPr>
          </w:p>
        </w:tc>
        <w:tc>
          <w:tcPr>
            <w:tcW w:w="1610" w:type="dxa"/>
            <w:tcBorders>
              <w:top w:val="single" w:color="auto" w:sz="4" w:space="0"/>
              <w:left w:val="single" w:color="auto" w:sz="4" w:space="0"/>
              <w:bottom w:val="single" w:color="auto" w:sz="4" w:space="0"/>
              <w:right w:val="single" w:color="auto" w:sz="4" w:space="0"/>
            </w:tcBorders>
          </w:tcPr>
          <w:p>
            <w:pPr>
              <w:jc w:val="center"/>
            </w:pPr>
          </w:p>
        </w:tc>
      </w:tr>
      <w:tr>
        <w:tblPrEx>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jc w:val="center"/>
            </w:pPr>
          </w:p>
        </w:tc>
        <w:tc>
          <w:tcPr>
            <w:tcW w:w="1739" w:type="dxa"/>
            <w:tcBorders>
              <w:top w:val="single" w:color="auto" w:sz="4" w:space="0"/>
              <w:left w:val="single" w:color="auto" w:sz="4" w:space="0"/>
              <w:bottom w:val="single" w:color="auto" w:sz="4" w:space="0"/>
              <w:right w:val="single" w:color="auto" w:sz="4" w:space="0"/>
            </w:tcBorders>
          </w:tcPr>
          <w:p>
            <w:pPr>
              <w:jc w:val="center"/>
            </w:pPr>
          </w:p>
        </w:tc>
        <w:tc>
          <w:tcPr>
            <w:tcW w:w="1420" w:type="dxa"/>
            <w:tcBorders>
              <w:top w:val="single" w:color="auto" w:sz="4" w:space="0"/>
              <w:left w:val="single" w:color="auto" w:sz="4" w:space="0"/>
              <w:bottom w:val="single" w:color="auto" w:sz="4" w:space="0"/>
              <w:right w:val="single" w:color="auto" w:sz="4" w:space="0"/>
            </w:tcBorders>
          </w:tcPr>
          <w:p>
            <w:pPr>
              <w:jc w:val="center"/>
            </w:pPr>
          </w:p>
        </w:tc>
        <w:tc>
          <w:tcPr>
            <w:tcW w:w="1235" w:type="dxa"/>
            <w:tcBorders>
              <w:top w:val="single" w:color="auto" w:sz="4" w:space="0"/>
              <w:left w:val="single" w:color="auto" w:sz="4" w:space="0"/>
              <w:bottom w:val="single" w:color="auto" w:sz="4" w:space="0"/>
              <w:right w:val="single" w:color="auto" w:sz="4" w:space="0"/>
            </w:tcBorders>
          </w:tcPr>
          <w:p>
            <w:pPr>
              <w:jc w:val="center"/>
            </w:pPr>
          </w:p>
        </w:tc>
        <w:tc>
          <w:tcPr>
            <w:tcW w:w="1417" w:type="dxa"/>
            <w:tcBorders>
              <w:top w:val="single" w:color="auto" w:sz="4" w:space="0"/>
              <w:left w:val="single" w:color="auto" w:sz="4" w:space="0"/>
              <w:bottom w:val="single" w:color="auto" w:sz="4" w:space="0"/>
              <w:right w:val="single" w:color="auto" w:sz="4" w:space="0"/>
            </w:tcBorders>
          </w:tcPr>
          <w:p>
            <w:pPr>
              <w:jc w:val="center"/>
            </w:pPr>
          </w:p>
        </w:tc>
        <w:tc>
          <w:tcPr>
            <w:tcW w:w="1610" w:type="dxa"/>
            <w:tcBorders>
              <w:top w:val="single" w:color="auto" w:sz="4" w:space="0"/>
              <w:left w:val="single" w:color="auto" w:sz="4" w:space="0"/>
              <w:bottom w:val="single" w:color="auto" w:sz="4" w:space="0"/>
              <w:right w:val="single" w:color="auto" w:sz="4" w:space="0"/>
            </w:tcBorders>
          </w:tcPr>
          <w:p>
            <w:pPr>
              <w:jc w:val="center"/>
            </w:pPr>
          </w:p>
        </w:tc>
      </w:tr>
      <w:tr>
        <w:tblPrEx>
          <w:tblLayout w:type="fixed"/>
        </w:tblPrEx>
        <w:tc>
          <w:tcPr>
            <w:tcW w:w="1101" w:type="dxa"/>
            <w:tcBorders>
              <w:top w:val="single" w:color="auto" w:sz="4" w:space="0"/>
              <w:left w:val="single" w:color="auto" w:sz="4" w:space="0"/>
              <w:bottom w:val="single" w:color="auto" w:sz="4" w:space="0"/>
              <w:right w:val="single" w:color="auto" w:sz="4" w:space="0"/>
            </w:tcBorders>
          </w:tcPr>
          <w:p>
            <w:pPr>
              <w:jc w:val="center"/>
            </w:pPr>
          </w:p>
        </w:tc>
        <w:tc>
          <w:tcPr>
            <w:tcW w:w="1739" w:type="dxa"/>
            <w:tcBorders>
              <w:top w:val="single" w:color="auto" w:sz="4" w:space="0"/>
              <w:left w:val="single" w:color="auto" w:sz="4" w:space="0"/>
              <w:bottom w:val="single" w:color="auto" w:sz="4" w:space="0"/>
              <w:right w:val="single" w:color="auto" w:sz="4" w:space="0"/>
            </w:tcBorders>
          </w:tcPr>
          <w:p>
            <w:pPr>
              <w:jc w:val="center"/>
            </w:pPr>
          </w:p>
        </w:tc>
        <w:tc>
          <w:tcPr>
            <w:tcW w:w="1420" w:type="dxa"/>
            <w:tcBorders>
              <w:top w:val="single" w:color="auto" w:sz="4" w:space="0"/>
              <w:left w:val="single" w:color="auto" w:sz="4" w:space="0"/>
              <w:bottom w:val="single" w:color="auto" w:sz="4" w:space="0"/>
              <w:right w:val="single" w:color="auto" w:sz="4" w:space="0"/>
            </w:tcBorders>
          </w:tcPr>
          <w:p>
            <w:pPr>
              <w:jc w:val="center"/>
            </w:pPr>
          </w:p>
        </w:tc>
        <w:tc>
          <w:tcPr>
            <w:tcW w:w="1235" w:type="dxa"/>
            <w:tcBorders>
              <w:top w:val="single" w:color="auto" w:sz="4" w:space="0"/>
              <w:left w:val="single" w:color="auto" w:sz="4" w:space="0"/>
              <w:bottom w:val="single" w:color="auto" w:sz="4" w:space="0"/>
              <w:right w:val="single" w:color="auto" w:sz="4" w:space="0"/>
            </w:tcBorders>
          </w:tcPr>
          <w:p>
            <w:pPr>
              <w:jc w:val="center"/>
            </w:pPr>
          </w:p>
        </w:tc>
        <w:tc>
          <w:tcPr>
            <w:tcW w:w="1417" w:type="dxa"/>
            <w:tcBorders>
              <w:top w:val="single" w:color="auto" w:sz="4" w:space="0"/>
              <w:left w:val="single" w:color="auto" w:sz="4" w:space="0"/>
              <w:bottom w:val="single" w:color="auto" w:sz="4" w:space="0"/>
              <w:right w:val="single" w:color="auto" w:sz="4" w:space="0"/>
            </w:tcBorders>
          </w:tcPr>
          <w:p>
            <w:pPr>
              <w:jc w:val="center"/>
            </w:pPr>
          </w:p>
        </w:tc>
        <w:tc>
          <w:tcPr>
            <w:tcW w:w="1610" w:type="dxa"/>
            <w:tcBorders>
              <w:top w:val="single" w:color="auto" w:sz="4" w:space="0"/>
              <w:left w:val="single" w:color="auto" w:sz="4" w:space="0"/>
              <w:bottom w:val="single" w:color="auto" w:sz="4" w:space="0"/>
              <w:right w:val="single" w:color="auto" w:sz="4" w:space="0"/>
            </w:tcBorders>
          </w:tcPr>
          <w:p>
            <w:pPr>
              <w:jc w:val="center"/>
            </w:pPr>
          </w:p>
        </w:tc>
      </w:tr>
      <w:tr>
        <w:tblPrEx>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jc w:val="center"/>
            </w:pPr>
          </w:p>
        </w:tc>
        <w:tc>
          <w:tcPr>
            <w:tcW w:w="1739" w:type="dxa"/>
            <w:tcBorders>
              <w:top w:val="single" w:color="auto" w:sz="4" w:space="0"/>
              <w:left w:val="single" w:color="auto" w:sz="4" w:space="0"/>
              <w:bottom w:val="single" w:color="auto" w:sz="4" w:space="0"/>
              <w:right w:val="single" w:color="auto" w:sz="4" w:space="0"/>
            </w:tcBorders>
          </w:tcPr>
          <w:p>
            <w:pPr>
              <w:jc w:val="center"/>
            </w:pPr>
          </w:p>
        </w:tc>
        <w:tc>
          <w:tcPr>
            <w:tcW w:w="1420" w:type="dxa"/>
            <w:tcBorders>
              <w:top w:val="single" w:color="auto" w:sz="4" w:space="0"/>
              <w:left w:val="single" w:color="auto" w:sz="4" w:space="0"/>
              <w:bottom w:val="single" w:color="auto" w:sz="4" w:space="0"/>
              <w:right w:val="single" w:color="auto" w:sz="4" w:space="0"/>
            </w:tcBorders>
          </w:tcPr>
          <w:p>
            <w:pPr>
              <w:jc w:val="center"/>
            </w:pPr>
          </w:p>
        </w:tc>
        <w:tc>
          <w:tcPr>
            <w:tcW w:w="1235" w:type="dxa"/>
            <w:tcBorders>
              <w:top w:val="single" w:color="auto" w:sz="4" w:space="0"/>
              <w:left w:val="single" w:color="auto" w:sz="4" w:space="0"/>
              <w:bottom w:val="single" w:color="auto" w:sz="4" w:space="0"/>
              <w:right w:val="single" w:color="auto" w:sz="4" w:space="0"/>
            </w:tcBorders>
          </w:tcPr>
          <w:p>
            <w:pPr>
              <w:jc w:val="center"/>
            </w:pPr>
          </w:p>
        </w:tc>
        <w:tc>
          <w:tcPr>
            <w:tcW w:w="1417" w:type="dxa"/>
            <w:tcBorders>
              <w:top w:val="single" w:color="auto" w:sz="4" w:space="0"/>
              <w:left w:val="single" w:color="auto" w:sz="4" w:space="0"/>
              <w:bottom w:val="single" w:color="auto" w:sz="4" w:space="0"/>
              <w:right w:val="single" w:color="auto" w:sz="4" w:space="0"/>
            </w:tcBorders>
          </w:tcPr>
          <w:p>
            <w:pPr>
              <w:jc w:val="center"/>
            </w:pPr>
          </w:p>
        </w:tc>
        <w:tc>
          <w:tcPr>
            <w:tcW w:w="1610" w:type="dxa"/>
            <w:tcBorders>
              <w:top w:val="single" w:color="auto" w:sz="4" w:space="0"/>
              <w:left w:val="single" w:color="auto" w:sz="4" w:space="0"/>
              <w:bottom w:val="single" w:color="auto" w:sz="4" w:space="0"/>
              <w:right w:val="single" w:color="auto" w:sz="4" w:space="0"/>
            </w:tcBorders>
          </w:tcPr>
          <w:p>
            <w:pPr>
              <w:jc w:val="center"/>
            </w:pPr>
          </w:p>
        </w:tc>
      </w:tr>
      <w:tr>
        <w:tblPrEx>
          <w:tblLayout w:type="fixed"/>
        </w:tblPrEx>
        <w:tc>
          <w:tcPr>
            <w:tcW w:w="1101" w:type="dxa"/>
            <w:tcBorders>
              <w:top w:val="single" w:color="auto" w:sz="4" w:space="0"/>
              <w:left w:val="single" w:color="auto" w:sz="4" w:space="0"/>
              <w:bottom w:val="single" w:color="auto" w:sz="4" w:space="0"/>
              <w:right w:val="single" w:color="auto" w:sz="4" w:space="0"/>
            </w:tcBorders>
          </w:tcPr>
          <w:p>
            <w:pPr>
              <w:jc w:val="center"/>
            </w:pPr>
          </w:p>
        </w:tc>
        <w:tc>
          <w:tcPr>
            <w:tcW w:w="1739" w:type="dxa"/>
            <w:tcBorders>
              <w:top w:val="single" w:color="auto" w:sz="4" w:space="0"/>
              <w:left w:val="single" w:color="auto" w:sz="4" w:space="0"/>
              <w:bottom w:val="single" w:color="auto" w:sz="4" w:space="0"/>
              <w:right w:val="single" w:color="auto" w:sz="4" w:space="0"/>
            </w:tcBorders>
          </w:tcPr>
          <w:p>
            <w:pPr>
              <w:jc w:val="center"/>
            </w:pPr>
          </w:p>
        </w:tc>
        <w:tc>
          <w:tcPr>
            <w:tcW w:w="1420" w:type="dxa"/>
            <w:tcBorders>
              <w:top w:val="single" w:color="auto" w:sz="4" w:space="0"/>
              <w:left w:val="single" w:color="auto" w:sz="4" w:space="0"/>
              <w:bottom w:val="single" w:color="auto" w:sz="4" w:space="0"/>
              <w:right w:val="single" w:color="auto" w:sz="4" w:space="0"/>
            </w:tcBorders>
          </w:tcPr>
          <w:p>
            <w:pPr>
              <w:jc w:val="center"/>
            </w:pPr>
          </w:p>
        </w:tc>
        <w:tc>
          <w:tcPr>
            <w:tcW w:w="1235" w:type="dxa"/>
            <w:tcBorders>
              <w:top w:val="single" w:color="auto" w:sz="4" w:space="0"/>
              <w:left w:val="single" w:color="auto" w:sz="4" w:space="0"/>
              <w:bottom w:val="single" w:color="auto" w:sz="4" w:space="0"/>
              <w:right w:val="single" w:color="auto" w:sz="4" w:space="0"/>
            </w:tcBorders>
          </w:tcPr>
          <w:p>
            <w:pPr>
              <w:jc w:val="center"/>
            </w:pPr>
          </w:p>
        </w:tc>
        <w:tc>
          <w:tcPr>
            <w:tcW w:w="1417" w:type="dxa"/>
            <w:tcBorders>
              <w:top w:val="single" w:color="auto" w:sz="4" w:space="0"/>
              <w:left w:val="single" w:color="auto" w:sz="4" w:space="0"/>
              <w:bottom w:val="single" w:color="auto" w:sz="4" w:space="0"/>
              <w:right w:val="single" w:color="auto" w:sz="4" w:space="0"/>
            </w:tcBorders>
          </w:tcPr>
          <w:p>
            <w:pPr>
              <w:jc w:val="center"/>
            </w:pPr>
          </w:p>
        </w:tc>
        <w:tc>
          <w:tcPr>
            <w:tcW w:w="1610" w:type="dxa"/>
            <w:tcBorders>
              <w:top w:val="single" w:color="auto" w:sz="4" w:space="0"/>
              <w:left w:val="single" w:color="auto" w:sz="4" w:space="0"/>
              <w:bottom w:val="single" w:color="auto" w:sz="4" w:space="0"/>
              <w:right w:val="single" w:color="auto" w:sz="4" w:space="0"/>
            </w:tcBorders>
          </w:tcPr>
          <w:p>
            <w:pPr>
              <w:jc w:val="center"/>
            </w:pPr>
          </w:p>
        </w:tc>
      </w:tr>
      <w:tr>
        <w:tblPrEx>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jc w:val="center"/>
            </w:pPr>
          </w:p>
        </w:tc>
        <w:tc>
          <w:tcPr>
            <w:tcW w:w="1739" w:type="dxa"/>
            <w:tcBorders>
              <w:top w:val="single" w:color="auto" w:sz="4" w:space="0"/>
              <w:left w:val="single" w:color="auto" w:sz="4" w:space="0"/>
              <w:bottom w:val="single" w:color="auto" w:sz="4" w:space="0"/>
              <w:right w:val="single" w:color="auto" w:sz="4" w:space="0"/>
            </w:tcBorders>
          </w:tcPr>
          <w:p>
            <w:pPr>
              <w:jc w:val="center"/>
            </w:pPr>
          </w:p>
        </w:tc>
        <w:tc>
          <w:tcPr>
            <w:tcW w:w="1420" w:type="dxa"/>
            <w:tcBorders>
              <w:top w:val="single" w:color="auto" w:sz="4" w:space="0"/>
              <w:left w:val="single" w:color="auto" w:sz="4" w:space="0"/>
              <w:bottom w:val="single" w:color="auto" w:sz="4" w:space="0"/>
              <w:right w:val="single" w:color="auto" w:sz="4" w:space="0"/>
            </w:tcBorders>
          </w:tcPr>
          <w:p>
            <w:pPr>
              <w:jc w:val="center"/>
            </w:pPr>
          </w:p>
        </w:tc>
        <w:tc>
          <w:tcPr>
            <w:tcW w:w="1235" w:type="dxa"/>
            <w:tcBorders>
              <w:top w:val="single" w:color="auto" w:sz="4" w:space="0"/>
              <w:left w:val="single" w:color="auto" w:sz="4" w:space="0"/>
              <w:bottom w:val="single" w:color="auto" w:sz="4" w:space="0"/>
              <w:right w:val="single" w:color="auto" w:sz="4" w:space="0"/>
            </w:tcBorders>
          </w:tcPr>
          <w:p>
            <w:pPr>
              <w:jc w:val="center"/>
            </w:pPr>
          </w:p>
        </w:tc>
        <w:tc>
          <w:tcPr>
            <w:tcW w:w="1417" w:type="dxa"/>
            <w:tcBorders>
              <w:top w:val="single" w:color="auto" w:sz="4" w:space="0"/>
              <w:left w:val="single" w:color="auto" w:sz="4" w:space="0"/>
              <w:bottom w:val="single" w:color="auto" w:sz="4" w:space="0"/>
              <w:right w:val="single" w:color="auto" w:sz="4" w:space="0"/>
            </w:tcBorders>
          </w:tcPr>
          <w:p>
            <w:pPr>
              <w:jc w:val="center"/>
            </w:pPr>
          </w:p>
        </w:tc>
        <w:tc>
          <w:tcPr>
            <w:tcW w:w="1610" w:type="dxa"/>
            <w:tcBorders>
              <w:top w:val="single" w:color="auto" w:sz="4" w:space="0"/>
              <w:left w:val="single" w:color="auto" w:sz="4" w:space="0"/>
              <w:bottom w:val="single" w:color="auto" w:sz="4" w:space="0"/>
              <w:right w:val="single" w:color="auto" w:sz="4" w:space="0"/>
            </w:tcBorders>
          </w:tcPr>
          <w:p>
            <w:pPr>
              <w:jc w:val="center"/>
            </w:pPr>
          </w:p>
        </w:tc>
      </w:tr>
    </w:tbl>
    <w:p>
      <w:pPr>
        <w:ind w:firstLine="1837"/>
        <w:rPr>
          <w:rFonts w:ascii="仿宋" w:hAnsi="仿宋" w:eastAsia="仿宋" w:cs="宋体"/>
          <w:kern w:val="0"/>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8A6B71"/>
    <w:rsid w:val="00061324"/>
    <w:rsid w:val="001C34EC"/>
    <w:rsid w:val="00246FC8"/>
    <w:rsid w:val="002E1333"/>
    <w:rsid w:val="003D46BC"/>
    <w:rsid w:val="00581806"/>
    <w:rsid w:val="005F7E29"/>
    <w:rsid w:val="008A6B71"/>
    <w:rsid w:val="20BE1470"/>
    <w:rsid w:val="6A8B4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qFormat/>
    <w:uiPriority w:val="9"/>
    <w:pPr>
      <w:spacing w:before="100" w:beforeAutospacing="1" w:after="100" w:afterAutospacing="1"/>
      <w:jc w:val="left"/>
      <w:outlineLvl w:val="3"/>
    </w:pPr>
    <w:rPr>
      <w:rFonts w:hint="eastAsia" w:ascii="宋体" w:hAnsi="宋体" w:cs="宋体"/>
      <w:b/>
      <w:kern w:val="0"/>
      <w:sz w:val="24"/>
      <w:szCs w:val="24"/>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szCs w:val="24"/>
    </w:rPr>
  </w:style>
  <w:style w:type="character" w:styleId="8">
    <w:name w:val="Strong"/>
    <w:qFormat/>
    <w:uiPriority w:val="0"/>
    <w:rPr>
      <w:b/>
    </w:rPr>
  </w:style>
  <w:style w:type="character" w:styleId="9">
    <w:name w:val="page number"/>
    <w:basedOn w:val="7"/>
    <w:qFormat/>
    <w:uiPriority w:val="99"/>
  </w:style>
  <w:style w:type="character" w:styleId="10">
    <w:name w:val="Hyperlink"/>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Pages>
  <Words>144</Words>
  <Characters>823</Characters>
  <Lines>6</Lines>
  <Paragraphs>1</Paragraphs>
  <TotalTime>7</TotalTime>
  <ScaleCrop>false</ScaleCrop>
  <LinksUpToDate>false</LinksUpToDate>
  <CharactersWithSpaces>966</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2019-04-24T08:03:00Z</dcterms:created>
  <dc:creator>cxkj</dc:creator>
  <cp:lastModifiedBy>Administrator</cp:lastModifiedBy>
  <dcterms:modified xsi:type="dcterms:W3CDTF">2019-04-25T09:36:54Z</dcterms:modified>
  <dc:title>关于举办青岛农业大学第六届大学生社团艺术节手绘脸谱创意设计大赛的通知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