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jc w:val="center"/>
        <w:rPr>
          <w:rFonts w:ascii="方正小标宋简体" w:hAnsi="方正小标宋简体" w:eastAsia="方正小标宋简体" w:cs="方正小标宋简体"/>
          <w:sz w:val="44"/>
          <w:szCs w:val="44"/>
          <w:highlight w:val="none"/>
        </w:rPr>
      </w:pPr>
      <w:bookmarkStart w:id="1" w:name="_GoBack"/>
      <w:bookmarkEnd w:id="1"/>
      <w:bookmarkStart w:id="0" w:name="_Hlk120202480"/>
    </w:p>
    <w:p>
      <w:pPr>
        <w:ind w:firstLine="0" w:firstLineChars="0"/>
        <w:jc w:val="center"/>
        <w:rPr>
          <w:rFonts w:ascii="方正小标宋简体" w:hAnsi="方正小标宋简体" w:eastAsia="方正小标宋简体" w:cs="方正小标宋简体"/>
          <w:sz w:val="44"/>
          <w:szCs w:val="44"/>
          <w:highlight w:val="none"/>
        </w:rPr>
      </w:pPr>
    </w:p>
    <w:p>
      <w:pPr>
        <w:ind w:firstLine="0" w:firstLineChars="0"/>
        <w:jc w:val="center"/>
        <w:rPr>
          <w:rFonts w:ascii="方正小标宋简体" w:hAnsi="方正小标宋简体" w:eastAsia="方正小标宋简体" w:cs="方正小标宋简体"/>
          <w:sz w:val="44"/>
          <w:szCs w:val="44"/>
          <w:highlight w:val="none"/>
        </w:rPr>
      </w:pPr>
    </w:p>
    <w:p>
      <w:pPr>
        <w:ind w:firstLine="0" w:firstLineChars="0"/>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w:t>
      </w:r>
      <w:r>
        <w:rPr>
          <w:rFonts w:ascii="方正小标宋简体" w:hAnsi="方正小标宋简体" w:eastAsia="方正小标宋简体" w:cs="方正小标宋简体"/>
          <w:sz w:val="44"/>
          <w:szCs w:val="44"/>
          <w:highlight w:val="none"/>
        </w:rPr>
        <w:t>认真做好2023年度团员教育评议和</w:t>
      </w:r>
    </w:p>
    <w:p>
      <w:pPr>
        <w:ind w:firstLine="0" w:firstLineChars="0"/>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团员年度团籍注册工作的</w:t>
      </w:r>
      <w:r>
        <w:rPr>
          <w:rFonts w:hint="eastAsia" w:ascii="方正小标宋简体" w:hAnsi="方正小标宋简体" w:eastAsia="方正小标宋简体" w:cs="方正小标宋简体"/>
          <w:sz w:val="44"/>
          <w:szCs w:val="44"/>
          <w:highlight w:val="none"/>
        </w:rPr>
        <w:t>通知</w:t>
      </w:r>
    </w:p>
    <w:bookmarkEnd w:id="0"/>
    <w:p>
      <w:pPr>
        <w:rPr>
          <w:highlight w:val="none"/>
        </w:rPr>
      </w:pPr>
    </w:p>
    <w:p>
      <w:pPr>
        <w:ind w:firstLine="0" w:firstLineChars="0"/>
        <w:rPr>
          <w:rFonts w:ascii="宋体" w:hAnsi="宋体"/>
          <w:highlight w:val="none"/>
        </w:rPr>
      </w:pPr>
      <w:r>
        <w:rPr>
          <w:rFonts w:ascii="宋体" w:hAnsi="宋体"/>
          <w:highlight w:val="none"/>
        </w:rPr>
        <w:t>各</w:t>
      </w:r>
      <w:r>
        <w:rPr>
          <w:rFonts w:hint="eastAsia" w:ascii="宋体" w:hAnsi="宋体"/>
          <w:highlight w:val="none"/>
        </w:rPr>
        <w:t>学院</w:t>
      </w:r>
      <w:r>
        <w:rPr>
          <w:rFonts w:ascii="宋体" w:hAnsi="宋体"/>
          <w:highlight w:val="none"/>
        </w:rPr>
        <w:t>团委：</w:t>
      </w:r>
    </w:p>
    <w:p>
      <w:pPr>
        <w:rPr>
          <w:rFonts w:ascii="宋体" w:hAnsi="宋体"/>
          <w:highlight w:val="none"/>
        </w:rPr>
      </w:pPr>
      <w:r>
        <w:rPr>
          <w:rFonts w:hint="eastAsia" w:ascii="宋体" w:hAnsi="宋体"/>
          <w:highlight w:val="none"/>
        </w:rPr>
        <w:t>团的组织生活和基础团务工作是开展组织教育、培养团员意识的重要载体</w:t>
      </w:r>
      <w:r>
        <w:rPr>
          <w:rFonts w:ascii="宋体" w:hAnsi="宋体"/>
          <w:highlight w:val="none"/>
        </w:rPr>
        <w:t>，</w:t>
      </w:r>
      <w:r>
        <w:rPr>
          <w:rFonts w:hint="eastAsia" w:ascii="宋体" w:hAnsi="宋体"/>
          <w:highlight w:val="none"/>
        </w:rPr>
        <w:t>是团员青年在实践中学习中国特色社会主义和共产主义的重要途径，也是加强团的基层组织建设的重要抓手。为进一步夯实基层基础</w:t>
      </w:r>
      <w:r>
        <w:rPr>
          <w:rFonts w:ascii="宋体" w:hAnsi="宋体"/>
          <w:highlight w:val="none"/>
        </w:rPr>
        <w:t>，</w:t>
      </w:r>
      <w:r>
        <w:rPr>
          <w:rFonts w:hint="eastAsia" w:ascii="宋体" w:hAnsi="宋体"/>
          <w:highlight w:val="none"/>
        </w:rPr>
        <w:t>不断提升团的组织力，根据《共青团中央印发&lt;关于加强新时代团的基层建设着力提升团的组织力的意见&gt;的通知》</w:t>
      </w:r>
      <w:r>
        <w:rPr>
          <w:rFonts w:ascii="宋体" w:hAnsi="宋体"/>
          <w:highlight w:val="none"/>
        </w:rPr>
        <w:t>（中青发〔2019〕2号）、</w:t>
      </w:r>
      <w:r>
        <w:rPr>
          <w:rFonts w:hint="eastAsia" w:ascii="宋体" w:hAnsi="宋体"/>
          <w:highlight w:val="none"/>
        </w:rPr>
        <w:t>《共青团中央关于印发〈中国共产主义青年团基层组织“三会两制一课”实施细则(试行)〉的通知》（中青发〔201</w:t>
      </w:r>
      <w:r>
        <w:rPr>
          <w:rFonts w:ascii="宋体" w:hAnsi="宋体"/>
          <w:highlight w:val="none"/>
        </w:rPr>
        <w:t>7</w:t>
      </w:r>
      <w:r>
        <w:rPr>
          <w:rFonts w:hint="eastAsia" w:ascii="宋体" w:hAnsi="宋体"/>
          <w:highlight w:val="none"/>
        </w:rPr>
        <w:t>〕</w:t>
      </w:r>
      <w:r>
        <w:rPr>
          <w:rFonts w:ascii="宋体" w:hAnsi="宋体"/>
          <w:highlight w:val="none"/>
        </w:rPr>
        <w:t>5</w:t>
      </w:r>
      <w:r>
        <w:rPr>
          <w:rFonts w:hint="eastAsia" w:ascii="宋体" w:hAnsi="宋体"/>
          <w:highlight w:val="none"/>
        </w:rPr>
        <w:t>号）有关要求，结合</w:t>
      </w:r>
      <w:r>
        <w:rPr>
          <w:rFonts w:ascii="宋体" w:hAnsi="宋体"/>
          <w:highlight w:val="none"/>
        </w:rPr>
        <w:t>我校</w:t>
      </w:r>
      <w:r>
        <w:rPr>
          <w:rFonts w:hint="eastAsia" w:ascii="宋体" w:hAnsi="宋体"/>
          <w:highlight w:val="none"/>
        </w:rPr>
        <w:t>实际，现就认真做好2023年度团员教育评议和团员年度团籍注册工作有关事项通知如下</w:t>
      </w:r>
      <w:r>
        <w:rPr>
          <w:rFonts w:ascii="宋体" w:hAnsi="宋体"/>
          <w:highlight w:val="none"/>
        </w:rPr>
        <w:t>。</w:t>
      </w:r>
    </w:p>
    <w:p>
      <w:pPr>
        <w:pStyle w:val="10"/>
        <w:ind w:firstLine="640"/>
        <w:rPr>
          <w:rFonts w:ascii="宋体" w:hAnsi="宋体"/>
          <w:highlight w:val="none"/>
        </w:rPr>
      </w:pPr>
      <w:r>
        <w:rPr>
          <w:rFonts w:ascii="宋体" w:hAnsi="宋体"/>
          <w:highlight w:val="none"/>
        </w:rPr>
        <w:t>一、开展时间</w:t>
      </w:r>
    </w:p>
    <w:p>
      <w:pPr>
        <w:rPr>
          <w:rFonts w:ascii="宋体" w:hAnsi="宋体"/>
          <w:highlight w:val="none"/>
        </w:rPr>
      </w:pPr>
      <w:r>
        <w:rPr>
          <w:rFonts w:hint="eastAsia" w:ascii="宋体" w:hAnsi="宋体"/>
          <w:highlight w:val="none"/>
        </w:rPr>
        <w:t>2023年</w:t>
      </w:r>
      <w:r>
        <w:rPr>
          <w:rFonts w:hint="eastAsia" w:ascii="宋体" w:hAnsi="宋体"/>
          <w:highlight w:val="none"/>
          <w:lang w:val="en-US" w:eastAsia="zh-CN"/>
        </w:rPr>
        <w:t>11月下旬至</w:t>
      </w:r>
      <w:r>
        <w:rPr>
          <w:rFonts w:hint="eastAsia" w:ascii="宋体" w:hAnsi="宋体"/>
          <w:highlight w:val="none"/>
        </w:rPr>
        <w:t>12月</w:t>
      </w:r>
      <w:r>
        <w:rPr>
          <w:rFonts w:hint="eastAsia" w:ascii="宋体" w:hAnsi="宋体"/>
          <w:highlight w:val="none"/>
          <w:lang w:val="en-US" w:eastAsia="zh-CN"/>
        </w:rPr>
        <w:t>上</w:t>
      </w:r>
      <w:r>
        <w:rPr>
          <w:rFonts w:hint="eastAsia" w:ascii="宋体" w:hAnsi="宋体"/>
          <w:highlight w:val="none"/>
        </w:rPr>
        <w:t>旬</w:t>
      </w:r>
    </w:p>
    <w:p>
      <w:pPr>
        <w:pStyle w:val="10"/>
        <w:ind w:firstLine="640"/>
        <w:rPr>
          <w:rFonts w:ascii="宋体" w:hAnsi="宋体"/>
          <w:highlight w:val="none"/>
        </w:rPr>
      </w:pPr>
      <w:r>
        <w:rPr>
          <w:rFonts w:ascii="宋体" w:hAnsi="宋体"/>
          <w:highlight w:val="none"/>
        </w:rPr>
        <w:t>二、开展对象</w:t>
      </w:r>
    </w:p>
    <w:p>
      <w:pPr>
        <w:rPr>
          <w:rFonts w:ascii="宋体" w:hAnsi="宋体"/>
          <w:highlight w:val="none"/>
        </w:rPr>
      </w:pPr>
      <w:r>
        <w:rPr>
          <w:rFonts w:hint="eastAsia" w:ascii="宋体" w:hAnsi="宋体"/>
          <w:highlight w:val="none"/>
        </w:rPr>
        <w:t>团组织关系在</w:t>
      </w:r>
      <w:r>
        <w:rPr>
          <w:rFonts w:ascii="宋体" w:hAnsi="宋体"/>
          <w:highlight w:val="none"/>
        </w:rPr>
        <w:t>青岛农业大学</w:t>
      </w:r>
      <w:r>
        <w:rPr>
          <w:rFonts w:hint="eastAsia" w:ascii="宋体" w:hAnsi="宋体"/>
          <w:highlight w:val="none"/>
        </w:rPr>
        <w:t>的全校共青团员。其中，保留团籍的共产党员应积极参加党的组织生活，可不参加团员教育评议和年度团籍注册，自愿参加者不限</w:t>
      </w:r>
      <w:r>
        <w:rPr>
          <w:rFonts w:ascii="宋体" w:hAnsi="宋体"/>
          <w:highlight w:val="none"/>
        </w:rPr>
        <w:t>。</w:t>
      </w:r>
    </w:p>
    <w:p>
      <w:pPr>
        <w:pStyle w:val="10"/>
        <w:ind w:firstLine="640"/>
        <w:rPr>
          <w:rFonts w:ascii="宋体" w:hAnsi="宋体"/>
          <w:highlight w:val="none"/>
        </w:rPr>
      </w:pPr>
      <w:r>
        <w:rPr>
          <w:rFonts w:hint="eastAsia" w:ascii="宋体" w:hAnsi="宋体"/>
          <w:highlight w:val="none"/>
        </w:rPr>
        <w:t>三、团员教育评议工作</w:t>
      </w:r>
    </w:p>
    <w:p>
      <w:pPr>
        <w:rPr>
          <w:rFonts w:ascii="宋体" w:hAnsi="宋体"/>
          <w:highlight w:val="none"/>
        </w:rPr>
      </w:pPr>
      <w:r>
        <w:rPr>
          <w:rFonts w:hint="eastAsia" w:ascii="宋体" w:hAnsi="宋体"/>
          <w:highlight w:val="none"/>
        </w:rPr>
        <w:t>团员教育评议是团的组织生活的重要组成部分，是加强团员队伍思想建设、严格团的纪律、规范团员管理的重要措施。团员教育评议采取</w:t>
      </w:r>
      <w:r>
        <w:rPr>
          <w:rFonts w:ascii="宋体" w:hAnsi="宋体"/>
          <w:highlight w:val="none"/>
        </w:rPr>
        <w:t>用</w:t>
      </w:r>
      <w:r>
        <w:rPr>
          <w:rFonts w:hint="eastAsia" w:ascii="宋体" w:hAnsi="宋体"/>
          <w:highlight w:val="none"/>
        </w:rPr>
        <w:t>学习教育、团员评议和组织评价相结合的方式，对团员进行综合评价，帮助团员增强自我认知，实现健康成长。</w:t>
      </w:r>
    </w:p>
    <w:p>
      <w:pPr>
        <w:rPr>
          <w:rFonts w:ascii="宋体" w:hAnsi="宋体"/>
          <w:highlight w:val="none"/>
        </w:rPr>
      </w:pPr>
      <w:r>
        <w:rPr>
          <w:rFonts w:hint="eastAsia" w:ascii="宋体" w:hAnsi="宋体"/>
          <w:highlight w:val="none"/>
        </w:rPr>
        <w:t>1.</w:t>
      </w:r>
      <w:r>
        <w:rPr>
          <w:rFonts w:hint="eastAsia" w:ascii="宋体" w:hAnsi="宋体" w:cs="楷体_GB2312"/>
          <w:highlight w:val="none"/>
        </w:rPr>
        <w:t>组织学习教育</w:t>
      </w:r>
      <w:r>
        <w:rPr>
          <w:rFonts w:hint="eastAsia" w:ascii="宋体" w:hAnsi="宋体"/>
          <w:highlight w:val="none"/>
        </w:rPr>
        <w:t>。学习教育应与深入开展学习贯彻习近平新时代中国特色社会主义思想主题教育结合进行，具体要求详见《关于印发</w:t>
      </w:r>
      <w:r>
        <w:rPr>
          <w:rFonts w:hint="eastAsia" w:ascii="宋体" w:hAnsi="宋体"/>
          <w:highlight w:val="none"/>
          <w:lang w:val="en-US" w:eastAsia="zh-CN"/>
        </w:rPr>
        <w:t>&lt;</w:t>
      </w:r>
      <w:r>
        <w:rPr>
          <w:rFonts w:hint="eastAsia" w:ascii="宋体" w:hAnsi="宋体"/>
          <w:highlight w:val="none"/>
        </w:rPr>
        <w:t>共青团青岛农业大学委员会关于深入开展学习贯彻习近平新时代中国特色社会主义思想主题教育的实施方案</w:t>
      </w:r>
      <w:r>
        <w:rPr>
          <w:rFonts w:hint="eastAsia" w:ascii="宋体" w:hAnsi="宋体"/>
          <w:highlight w:val="none"/>
          <w:lang w:val="en-US" w:eastAsia="zh-CN"/>
        </w:rPr>
        <w:t>&gt;</w:t>
      </w:r>
      <w:r>
        <w:rPr>
          <w:rFonts w:hint="eastAsia" w:ascii="宋体" w:hAnsi="宋体"/>
          <w:highlight w:val="none"/>
        </w:rPr>
        <w:t>的通知》</w:t>
      </w:r>
      <w:r>
        <w:rPr>
          <w:rFonts w:hint="eastAsia" w:ascii="宋体" w:hAnsi="宋体"/>
          <w:highlight w:val="none"/>
          <w:lang w:eastAsia="zh-CN"/>
        </w:rPr>
        <w:t>（</w:t>
      </w:r>
      <w:r>
        <w:rPr>
          <w:rFonts w:hint="eastAsia" w:ascii="宋体" w:hAnsi="宋体"/>
          <w:highlight w:val="none"/>
          <w:lang w:val="en-US" w:eastAsia="zh-CN"/>
        </w:rPr>
        <w:t>青农大团字〔2023〕18号）</w:t>
      </w:r>
      <w:r>
        <w:rPr>
          <w:rFonts w:hint="eastAsia" w:ascii="宋体" w:hAnsi="宋体"/>
          <w:highlight w:val="none"/>
        </w:rPr>
        <w:t>。结合团员先进性评价，每名团员围绕在2023年度内的个人表现和发挥团员作用情况等撰写自我评价材料。</w:t>
      </w:r>
    </w:p>
    <w:p>
      <w:pPr>
        <w:rPr>
          <w:rFonts w:ascii="宋体" w:hAnsi="宋体"/>
          <w:highlight w:val="none"/>
        </w:rPr>
      </w:pPr>
      <w:r>
        <w:rPr>
          <w:rFonts w:hint="eastAsia" w:ascii="宋体" w:hAnsi="宋体"/>
          <w:highlight w:val="none"/>
        </w:rPr>
        <w:t>2.</w:t>
      </w:r>
      <w:r>
        <w:rPr>
          <w:rFonts w:hint="eastAsia" w:ascii="宋体" w:hAnsi="宋体" w:cs="楷体_GB2312"/>
          <w:highlight w:val="none"/>
        </w:rPr>
        <w:t>召开支部大会</w:t>
      </w:r>
      <w:r>
        <w:rPr>
          <w:rFonts w:hint="eastAsia" w:ascii="宋体" w:hAnsi="宋体"/>
          <w:highlight w:val="none"/>
        </w:rPr>
        <w:t>。支部每名团员根据学习教育情况和所准备的自我评价材料进行自我评价；其他团员对其进行评议，肯定成绩、指出不足。</w:t>
      </w:r>
    </w:p>
    <w:p>
      <w:pPr>
        <w:rPr>
          <w:rFonts w:ascii="宋体" w:hAnsi="宋体"/>
          <w:highlight w:val="none"/>
        </w:rPr>
      </w:pPr>
      <w:r>
        <w:rPr>
          <w:rFonts w:hint="eastAsia" w:ascii="宋体" w:hAnsi="宋体"/>
          <w:highlight w:val="none"/>
        </w:rPr>
        <w:t>3.</w:t>
      </w:r>
      <w:r>
        <w:rPr>
          <w:rFonts w:hint="eastAsia" w:ascii="宋体" w:hAnsi="宋体" w:cs="楷体_GB2312"/>
          <w:highlight w:val="none"/>
        </w:rPr>
        <w:t>开展教育评议</w:t>
      </w:r>
      <w:r>
        <w:rPr>
          <w:rFonts w:hint="eastAsia" w:ascii="宋体" w:hAnsi="宋体"/>
          <w:highlight w:val="none"/>
        </w:rPr>
        <w:t>。以团支部为单位对所有团员进行测评投票。到会团员超过应到会团员总数的三分之二方可进行评议。支部委员会根据个人自评、团员互评和测评投票结果，结合团员先进性评价和团员日常表现，研究提出每名团员的建议评议等次，报学院团委审批和备案。团员评议等次分“优秀”“合格”“基本合格”“不合格”四个等次，其中优秀等次团员数量应控制在参加评议</w:t>
      </w:r>
      <w:r>
        <w:rPr>
          <w:rFonts w:hint="eastAsia" w:ascii="宋体" w:hAnsi="宋体"/>
          <w:highlight w:val="none"/>
          <w:lang w:val="en-US" w:eastAsia="zh-CN"/>
        </w:rPr>
        <w:t>的支部的</w:t>
      </w:r>
      <w:r>
        <w:rPr>
          <w:rFonts w:hint="eastAsia" w:ascii="宋体" w:hAnsi="宋体"/>
          <w:highlight w:val="none"/>
        </w:rPr>
        <w:t>团员人数30%以内。应注意“看票不唯票”，评议学生团员要防止唯分数、唯成绩。触发《普通高校学生团员先进性评价参考细则》</w:t>
      </w:r>
      <w:r>
        <w:rPr>
          <w:rFonts w:hint="eastAsia"/>
          <w:highlight w:val="none"/>
          <w:lang w:eastAsia="zh-CN"/>
        </w:rPr>
        <w:t>（</w:t>
      </w:r>
      <w:r>
        <w:rPr>
          <w:rFonts w:hint="eastAsia"/>
          <w:highlight w:val="none"/>
          <w:lang w:val="en-US" w:eastAsia="zh-CN"/>
        </w:rPr>
        <w:t>详见《关于做好2023年全校发展团员调控工作的通知》</w:t>
      </w:r>
      <w:r>
        <w:rPr>
          <w:rFonts w:hint="eastAsia"/>
          <w:highlight w:val="none"/>
          <w:lang w:eastAsia="zh-CN"/>
        </w:rPr>
        <w:t>）</w:t>
      </w:r>
      <w:r>
        <w:rPr>
          <w:rFonts w:hint="eastAsia" w:ascii="宋体" w:hAnsi="宋体"/>
          <w:highlight w:val="none"/>
        </w:rPr>
        <w:t>“负面清单”情形的，年度不得评优，团组织应视情节给予组织处置或纪律处分。</w:t>
      </w:r>
    </w:p>
    <w:p>
      <w:pPr>
        <w:rPr>
          <w:rFonts w:ascii="宋体" w:hAnsi="宋体"/>
          <w:highlight w:val="none"/>
        </w:rPr>
      </w:pPr>
      <w:r>
        <w:rPr>
          <w:rFonts w:hint="eastAsia" w:ascii="宋体" w:hAnsi="宋体"/>
          <w:highlight w:val="none"/>
        </w:rPr>
        <w:t>具体评价标准和条件详见附件1，测评投票参考附件2。全体专职团干要以团员身份参加并指导所密切联系的团支部做好团员教育评议工作。</w:t>
      </w:r>
    </w:p>
    <w:p>
      <w:pPr>
        <w:rPr>
          <w:rFonts w:ascii="宋体" w:hAnsi="宋体"/>
          <w:highlight w:val="none"/>
        </w:rPr>
      </w:pPr>
      <w:r>
        <w:rPr>
          <w:rFonts w:hint="eastAsia" w:ascii="宋体" w:hAnsi="宋体"/>
          <w:highlight w:val="none"/>
        </w:rPr>
        <w:t>4.</w:t>
      </w:r>
      <w:r>
        <w:rPr>
          <w:rFonts w:hint="eastAsia" w:ascii="宋体" w:hAnsi="宋体" w:cs="楷体_GB2312"/>
          <w:highlight w:val="none"/>
        </w:rPr>
        <w:t>做好结果运用</w:t>
      </w:r>
      <w:r>
        <w:rPr>
          <w:rFonts w:hint="eastAsia" w:ascii="宋体" w:hAnsi="宋体"/>
          <w:highlight w:val="none"/>
        </w:rPr>
        <w:t>。评议结果将作为年度青岛农业大学“优秀共青团员”“优秀共青团干部”评选和推荐优秀团员作入党积极分子人选等</w:t>
      </w:r>
      <w:r>
        <w:rPr>
          <w:rFonts w:hint="eastAsia" w:ascii="宋体" w:hAnsi="宋体" w:cs="黑体"/>
          <w:highlight w:val="none"/>
        </w:rPr>
        <w:t>重要依据</w:t>
      </w:r>
      <w:r>
        <w:rPr>
          <w:rFonts w:hint="eastAsia" w:ascii="宋体" w:hAnsi="宋体"/>
          <w:highlight w:val="none"/>
        </w:rPr>
        <w:t>。</w:t>
      </w:r>
    </w:p>
    <w:p>
      <w:pPr>
        <w:rPr>
          <w:rFonts w:ascii="宋体" w:hAnsi="宋体"/>
          <w:highlight w:val="none"/>
        </w:rPr>
      </w:pPr>
      <w:r>
        <w:rPr>
          <w:rFonts w:hint="eastAsia" w:ascii="宋体" w:hAnsi="宋体"/>
          <w:highlight w:val="none"/>
        </w:rPr>
        <w:t>对于评议等次为优秀的团员，可在一定范围内进行公示。对评议等次为基本合格的团员，应由支部书记或上级团组织负责人进行谈话、教育帮助。对评议等次为不合格的团员，团组织要对其进行教育帮助，限期改正，暂缓团籍注册。处置不合格团员要严肃慎重、实事求是，做到事实清楚、理由充分、处理恰当、手续完备。</w:t>
      </w:r>
    </w:p>
    <w:p>
      <w:pPr>
        <w:rPr>
          <w:rFonts w:hint="eastAsia" w:ascii="宋体" w:hAnsi="宋体" w:eastAsia="黑体" w:cs="黑体"/>
          <w:highlight w:val="none"/>
        </w:rPr>
      </w:pPr>
      <w:r>
        <w:rPr>
          <w:rFonts w:hint="eastAsia" w:ascii="宋体" w:hAnsi="宋体" w:eastAsia="黑体" w:cs="黑体"/>
          <w:highlight w:val="none"/>
        </w:rPr>
        <w:t>四、团员年度团籍注册工作</w:t>
      </w:r>
    </w:p>
    <w:p>
      <w:pPr>
        <w:rPr>
          <w:rFonts w:ascii="宋体" w:hAnsi="宋体"/>
          <w:highlight w:val="none"/>
        </w:rPr>
      </w:pPr>
      <w:r>
        <w:rPr>
          <w:rFonts w:hint="eastAsia" w:ascii="宋体" w:hAnsi="宋体"/>
          <w:highlight w:val="none"/>
        </w:rPr>
        <w:t>团员年度团籍注册是对团员团籍的连续认定，是团组织掌握和了解团员履行义务、参加活动情况的重要途径，是团员管理的关键环节。</w:t>
      </w:r>
    </w:p>
    <w:p>
      <w:pPr>
        <w:rPr>
          <w:rFonts w:ascii="宋体" w:hAnsi="宋体"/>
          <w:highlight w:val="none"/>
        </w:rPr>
      </w:pPr>
      <w:r>
        <w:rPr>
          <w:rFonts w:hint="eastAsia" w:ascii="宋体" w:hAnsi="宋体"/>
          <w:highlight w:val="none"/>
        </w:rPr>
        <w:t>1.对团员评议等次为“优秀”“合格”“基本合格”的团员，以支部为单位，由各学院团委在其团员证“团籍注册”栏内填写注册时间，将评议等次填写在注册意见栏，并加盖由校团委统一制作的团籍注册印章。</w:t>
      </w:r>
    </w:p>
    <w:p>
      <w:pPr>
        <w:rPr>
          <w:rFonts w:ascii="宋体" w:hAnsi="宋体"/>
          <w:highlight w:val="none"/>
        </w:rPr>
      </w:pPr>
      <w:r>
        <w:rPr>
          <w:rFonts w:hint="eastAsia" w:ascii="宋体" w:hAnsi="宋体"/>
          <w:highlight w:val="none"/>
        </w:rPr>
        <w:t>2.对团员评议等次为“不合格”的团员，各学院团委应当对其暂缓注册三至六个月。暂缓注册期后,对再次评议等次为合格的团员，及时给予注册；评议等次依然为不合格的团员,依照团员教育评议相关规定进行处理，不予注册。</w:t>
      </w:r>
    </w:p>
    <w:p>
      <w:pPr>
        <w:rPr>
          <w:rFonts w:ascii="宋体" w:hAnsi="宋体"/>
          <w:highlight w:val="none"/>
        </w:rPr>
      </w:pPr>
      <w:r>
        <w:rPr>
          <w:rFonts w:hint="eastAsia" w:ascii="宋体" w:hAnsi="宋体"/>
          <w:highlight w:val="none"/>
        </w:rPr>
        <w:t>3.团员年满28周岁，没有担任团内职务，应当办理离团手续。团员加入中国共产党以后仍保留团籍，年满28周岁，没有在团内担任职务，不再保留团籍。办理超龄离团手续，必须在团员证上“离团手续”栏内注明离团时间，并加盖学院团委公章，团员证由本人保存，作为永久性纪念。</w:t>
      </w:r>
    </w:p>
    <w:p>
      <w:pPr>
        <w:rPr>
          <w:rFonts w:ascii="宋体" w:hAnsi="宋体"/>
          <w:highlight w:val="none"/>
        </w:rPr>
      </w:pPr>
      <w:r>
        <w:rPr>
          <w:rFonts w:hint="eastAsia" w:ascii="宋体" w:hAnsi="宋体"/>
          <w:highlight w:val="none"/>
        </w:rPr>
        <w:t>4.年度团籍注册后，各团支部要根据注册情况修订支部团员花名册，并及时将注册情况向学院团委报告。</w:t>
      </w:r>
    </w:p>
    <w:p>
      <w:pPr>
        <w:keepNext/>
        <w:rPr>
          <w:rFonts w:hint="eastAsia" w:ascii="宋体" w:hAnsi="宋体" w:eastAsia="黑体" w:cs="黑体"/>
          <w:highlight w:val="none"/>
        </w:rPr>
      </w:pPr>
      <w:r>
        <w:rPr>
          <w:rFonts w:hint="eastAsia" w:ascii="宋体" w:hAnsi="宋体" w:eastAsia="黑体" w:cs="黑体"/>
          <w:highlight w:val="none"/>
        </w:rPr>
        <w:t>五、工作要求</w:t>
      </w:r>
    </w:p>
    <w:p>
      <w:pPr>
        <w:rPr>
          <w:rFonts w:ascii="宋体" w:hAnsi="宋体"/>
          <w:highlight w:val="none"/>
        </w:rPr>
      </w:pPr>
      <w:r>
        <w:rPr>
          <w:rFonts w:hint="eastAsia" w:ascii="宋体" w:hAnsi="宋体"/>
          <w:highlight w:val="none"/>
        </w:rPr>
        <w:t>1.</w:t>
      </w:r>
      <w:r>
        <w:rPr>
          <w:rFonts w:hint="eastAsia" w:ascii="宋体" w:hAnsi="宋体" w:cs="楷体_GB2312"/>
          <w:highlight w:val="none"/>
        </w:rPr>
        <w:t>提高认识，做好部署</w:t>
      </w:r>
      <w:r>
        <w:rPr>
          <w:rFonts w:hint="eastAsia" w:ascii="宋体" w:hAnsi="宋体"/>
          <w:highlight w:val="none"/>
        </w:rPr>
        <w:t>。学院团委要认真部署，根据疫情防控要求，研究制定与防疫相结合的各团支部的工作方法、流程。学院团委应全流程指导团支部做好2023年度团员教育评议和年度团籍注册工作。</w:t>
      </w:r>
    </w:p>
    <w:p>
      <w:pPr>
        <w:rPr>
          <w:rFonts w:ascii="宋体" w:hAnsi="宋体"/>
          <w:highlight w:val="none"/>
        </w:rPr>
      </w:pPr>
      <w:r>
        <w:rPr>
          <w:rFonts w:hint="eastAsia" w:ascii="宋体" w:hAnsi="宋体"/>
          <w:highlight w:val="none"/>
        </w:rPr>
        <w:t>2.</w:t>
      </w:r>
      <w:r>
        <w:rPr>
          <w:rFonts w:hint="eastAsia" w:ascii="宋体" w:hAnsi="宋体" w:cs="楷体_GB2312"/>
          <w:highlight w:val="none"/>
        </w:rPr>
        <w:t>精心组织，规范有序</w:t>
      </w:r>
      <w:r>
        <w:rPr>
          <w:rFonts w:hint="eastAsia" w:ascii="宋体" w:hAnsi="宋体"/>
          <w:highlight w:val="none"/>
        </w:rPr>
        <w:t>。团员教育评议工作涉及全校所有团支部和全体团员，各团支部要结合工作实际，严格程序和标准，精心安排，有序推进，做到既严肃认真，又生动活泼，有关事项应在《团支部工作手册》中如实、全面记录。</w:t>
      </w:r>
    </w:p>
    <w:p>
      <w:pPr>
        <w:rPr>
          <w:rFonts w:ascii="宋体" w:hAnsi="宋体"/>
          <w:highlight w:val="none"/>
        </w:rPr>
      </w:pPr>
      <w:r>
        <w:rPr>
          <w:rFonts w:hint="eastAsia" w:ascii="宋体" w:hAnsi="宋体"/>
          <w:highlight w:val="none"/>
        </w:rPr>
        <w:t>3.</w:t>
      </w:r>
      <w:r>
        <w:rPr>
          <w:rFonts w:hint="eastAsia" w:ascii="宋体" w:hAnsi="宋体" w:cs="楷体_GB2312"/>
          <w:highlight w:val="none"/>
        </w:rPr>
        <w:t>把握时间，按时推进</w:t>
      </w:r>
      <w:r>
        <w:rPr>
          <w:rFonts w:hint="eastAsia" w:ascii="宋体" w:hAnsi="宋体"/>
          <w:highlight w:val="none"/>
        </w:rPr>
        <w:t>。各学院团委要认真总结团员教育评议和年度团籍注册工作开展情况，形成《学院团委2023年度团员教育评议和年度团籍注册工作报告》（参考附件3）；指导各团支部将教育评议结果和年度团籍注册登记于“智慧团建”系统中，具体操作步骤详见</w:t>
      </w:r>
      <w:r>
        <w:rPr>
          <w:rFonts w:hint="eastAsia"/>
          <w:highlight w:val="none"/>
          <w:lang w:val="en-US" w:eastAsia="zh-CN"/>
        </w:rPr>
        <w:t>附件4</w:t>
      </w:r>
      <w:r>
        <w:rPr>
          <w:rFonts w:hint="eastAsia" w:ascii="宋体" w:hAnsi="宋体"/>
          <w:highlight w:val="none"/>
        </w:rPr>
        <w:t>；学院团委须汇总各团支部开展教育评议结果于《2023年度青岛农业大学团员教育评议信息汇总表》（附件5）。</w:t>
      </w:r>
    </w:p>
    <w:p>
      <w:pPr>
        <w:wordWrap w:val="0"/>
        <w:rPr>
          <w:rFonts w:hint="default" w:ascii="宋体" w:hAnsi="宋体" w:eastAsia="仿宋_GB2312"/>
          <w:highlight w:val="none"/>
          <w:lang w:val="en-US" w:eastAsia="zh-CN"/>
        </w:rPr>
      </w:pPr>
      <w:r>
        <w:rPr>
          <w:rFonts w:hint="eastAsia" w:ascii="宋体" w:hAnsi="宋体"/>
          <w:highlight w:val="none"/>
        </w:rPr>
        <w:t>有关材料于2023年12月</w:t>
      </w:r>
      <w:r>
        <w:rPr>
          <w:rFonts w:hint="eastAsia" w:ascii="宋体" w:hAnsi="宋体"/>
          <w:highlight w:val="none"/>
          <w:lang w:val="en-US" w:eastAsia="zh-CN"/>
        </w:rPr>
        <w:t>7</w:t>
      </w:r>
      <w:r>
        <w:rPr>
          <w:rFonts w:hint="eastAsia" w:ascii="宋体" w:hAnsi="宋体"/>
          <w:highlight w:val="none"/>
        </w:rPr>
        <w:t>日</w:t>
      </w:r>
      <w:r>
        <w:rPr>
          <w:rFonts w:hint="eastAsia" w:ascii="宋体" w:hAnsi="宋体"/>
          <w:highlight w:val="none"/>
          <w:lang w:eastAsia="zh-CN"/>
        </w:rPr>
        <w:t>（</w:t>
      </w:r>
      <w:r>
        <w:rPr>
          <w:rFonts w:hint="eastAsia" w:ascii="宋体" w:hAnsi="宋体"/>
          <w:highlight w:val="none"/>
          <w:lang w:val="en-US" w:eastAsia="zh-CN"/>
        </w:rPr>
        <w:t>周四）</w:t>
      </w:r>
      <w:r>
        <w:rPr>
          <w:rFonts w:hint="eastAsia" w:ascii="宋体" w:hAnsi="宋体"/>
          <w:highlight w:val="none"/>
        </w:rPr>
        <w:t>前</w:t>
      </w:r>
      <w:r>
        <w:rPr>
          <w:rFonts w:hint="eastAsia" w:ascii="宋体" w:hAnsi="宋体" w:cs="黑体"/>
          <w:highlight w:val="none"/>
        </w:rPr>
        <w:t>以学院为单位报送。</w:t>
      </w:r>
      <w:r>
        <w:rPr>
          <w:rFonts w:hint="eastAsia" w:ascii="宋体" w:hAnsi="宋体"/>
          <w:highlight w:val="none"/>
        </w:rPr>
        <w:t>附件3和5电子版于发送至链接：</w:t>
      </w:r>
      <w:r>
        <w:rPr>
          <w:rFonts w:ascii="宋体" w:hAnsi="宋体"/>
          <w:highlight w:val="none"/>
        </w:rPr>
        <w:t>http://qauyouth.quickconnect.cn/sharing/SFsH9sdWE</w:t>
      </w:r>
      <w:r>
        <w:rPr>
          <w:rFonts w:hint="eastAsia" w:ascii="宋体" w:hAnsi="宋体"/>
          <w:highlight w:val="none"/>
          <w:lang w:val="en-US" w:eastAsia="zh-CN"/>
        </w:rPr>
        <w:t>#</w:t>
      </w:r>
      <w:r>
        <w:rPr>
          <w:rFonts w:ascii="宋体" w:hAnsi="宋体"/>
          <w:highlight w:val="none"/>
        </w:rPr>
        <w:t>。</w:t>
      </w:r>
      <w:r>
        <w:rPr>
          <w:rFonts w:hint="eastAsia" w:ascii="宋体" w:hAnsi="宋体"/>
          <w:highlight w:val="none"/>
        </w:rPr>
        <w:t>加盖公章的纸质版附件3和5报送至校团委办公室（知行楼317）。“智慧团建”系统</w:t>
      </w:r>
      <w:r>
        <w:rPr>
          <w:rFonts w:hint="eastAsia"/>
          <w:highlight w:val="none"/>
          <w:lang w:val="en-US" w:eastAsia="zh-CN"/>
        </w:rPr>
        <w:t>登记应于12月13日（周三）前完成。</w:t>
      </w:r>
    </w:p>
    <w:p>
      <w:pPr>
        <w:wordWrap w:val="0"/>
        <w:spacing w:line="240" w:lineRule="auto"/>
        <w:ind w:left="0" w:leftChars="0" w:right="0" w:rightChars="0" w:firstLine="0" w:firstLineChars="0"/>
        <w:jc w:val="center"/>
        <w:rPr>
          <w:rFonts w:hint="eastAsia" w:ascii="宋体" w:hAnsi="宋体"/>
          <w:highlight w:val="none"/>
        </w:rPr>
      </w:pPr>
      <w:r>
        <w:rPr>
          <w:rFonts w:hint="eastAsia" w:ascii="宋体" w:hAnsi="宋体"/>
          <w:highlight w:val="none"/>
        </w:rPr>
        <w:drawing>
          <wp:inline distT="0" distB="0" distL="114300" distR="114300">
            <wp:extent cx="1043940" cy="1043940"/>
            <wp:effectExtent l="0" t="0" r="3810"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2"/>
                    <a:stretch>
                      <a:fillRect/>
                    </a:stretch>
                  </pic:blipFill>
                  <pic:spPr>
                    <a:xfrm>
                      <a:off x="0" y="0"/>
                      <a:ext cx="1043940" cy="1043940"/>
                    </a:xfrm>
                    <a:prstGeom prst="rect">
                      <a:avLst/>
                    </a:prstGeom>
                    <a:noFill/>
                    <a:ln>
                      <a:noFill/>
                    </a:ln>
                  </pic:spPr>
                </pic:pic>
              </a:graphicData>
            </a:graphic>
          </wp:inline>
        </w:drawing>
      </w:r>
    </w:p>
    <w:p>
      <w:pPr>
        <w:rPr>
          <w:rFonts w:ascii="宋体" w:hAnsi="宋体"/>
          <w:highlight w:val="none"/>
        </w:rPr>
      </w:pPr>
      <w:r>
        <w:rPr>
          <w:rFonts w:hint="eastAsia" w:ascii="宋体" w:hAnsi="宋体" w:eastAsia="仿宋_GB2312" w:cs="仿宋_GB2312"/>
          <w:highlight w:val="none"/>
        </w:rPr>
        <w:t>4.建章立制，创新方式。</w:t>
      </w:r>
      <w:r>
        <w:rPr>
          <w:rFonts w:hint="eastAsia" w:ascii="宋体" w:hAnsi="宋体"/>
          <w:highlight w:val="none"/>
        </w:rPr>
        <w:t>各学院团委要以团员教育评议和年度团籍注册工作为契机，开展组织规范，摸清基础底数，理顺组织隶属关系，建立和完善“三会两制一课”常态化工作机制，探索创新团的组织生活和基础团务管理的新方式。</w:t>
      </w:r>
    </w:p>
    <w:p>
      <w:pPr>
        <w:rPr>
          <w:rFonts w:ascii="宋体" w:hAnsi="宋体"/>
          <w:highlight w:val="none"/>
        </w:rPr>
      </w:pPr>
    </w:p>
    <w:p>
      <w:pPr>
        <w:ind w:left="1920" w:leftChars="200" w:hanging="1280" w:hangingChars="400"/>
        <w:rPr>
          <w:rFonts w:hint="eastAsia" w:ascii="宋体" w:hAnsi="宋体" w:eastAsia="仿宋_GB2312" w:cs="仿宋_GB2312"/>
          <w:highlight w:val="none"/>
        </w:rPr>
      </w:pPr>
      <w:r>
        <w:rPr>
          <w:rFonts w:ascii="宋体" w:hAnsi="宋体"/>
          <w:highlight w:val="none"/>
        </w:rPr>
        <w:t>附件：</w:t>
      </w:r>
      <w:r>
        <w:rPr>
          <w:rFonts w:hint="eastAsia" w:ascii="宋体" w:hAnsi="宋体" w:eastAsia="仿宋_GB2312" w:cs="仿宋_GB2312"/>
          <w:highlight w:val="none"/>
        </w:rPr>
        <w:t>1.2023年度青岛农业大学团员教育评议评价条件和主要表现</w:t>
      </w:r>
    </w:p>
    <w:p>
      <w:pPr>
        <w:ind w:firstLine="1600" w:firstLineChars="500"/>
        <w:rPr>
          <w:rFonts w:hint="eastAsia" w:ascii="宋体" w:hAnsi="宋体" w:eastAsia="仿宋_GB2312" w:cs="仿宋_GB2312"/>
          <w:highlight w:val="none"/>
        </w:rPr>
      </w:pPr>
      <w:r>
        <w:rPr>
          <w:rFonts w:hint="eastAsia" w:ascii="宋体" w:hAnsi="宋体" w:eastAsia="仿宋_GB2312" w:cs="仿宋_GB2312"/>
          <w:highlight w:val="none"/>
        </w:rPr>
        <w:t>2.2023年度青岛农业大学学院团员教育评议测评表</w:t>
      </w:r>
    </w:p>
    <w:p>
      <w:pPr>
        <w:ind w:left="1920" w:leftChars="500" w:hanging="320" w:hangingChars="100"/>
        <w:rPr>
          <w:rFonts w:hint="eastAsia" w:ascii="宋体" w:hAnsi="宋体" w:eastAsia="仿宋_GB2312" w:cs="仿宋_GB2312"/>
          <w:highlight w:val="none"/>
        </w:rPr>
      </w:pPr>
      <w:r>
        <w:rPr>
          <w:rFonts w:hint="eastAsia" w:ascii="宋体" w:hAnsi="宋体" w:eastAsia="仿宋_GB2312" w:cs="仿宋_GB2312"/>
          <w:highlight w:val="none"/>
        </w:rPr>
        <w:t>3.学院团委2023年度团员教育评议和年度团籍注册工作报告</w:t>
      </w:r>
    </w:p>
    <w:p>
      <w:pPr>
        <w:ind w:left="1920" w:leftChars="500" w:hanging="320" w:hangingChars="100"/>
        <w:rPr>
          <w:rFonts w:ascii="宋体" w:hAnsi="宋体"/>
          <w:highlight w:val="none"/>
        </w:rPr>
      </w:pPr>
      <w:r>
        <w:rPr>
          <w:rFonts w:hint="eastAsia" w:ascii="宋体" w:hAnsi="宋体" w:eastAsia="仿宋_GB2312" w:cs="仿宋_GB2312"/>
          <w:highlight w:val="none"/>
        </w:rPr>
        <w:t>4</w:t>
      </w:r>
      <w:r>
        <w:rPr>
          <w:rFonts w:ascii="宋体" w:hAnsi="宋体"/>
          <w:highlight w:val="none"/>
        </w:rPr>
        <w:t>.“智慧团建”系统团员教育评议、团员年度团籍注册操作指南</w:t>
      </w:r>
    </w:p>
    <w:p>
      <w:pPr>
        <w:ind w:left="1920" w:leftChars="500" w:hanging="320" w:hangingChars="100"/>
        <w:rPr>
          <w:rFonts w:ascii="宋体" w:hAnsi="宋体"/>
          <w:highlight w:val="none"/>
        </w:rPr>
      </w:pPr>
      <w:r>
        <w:rPr>
          <w:rFonts w:hint="eastAsia" w:ascii="宋体" w:hAnsi="宋体" w:eastAsia="仿宋_GB2312" w:cs="仿宋_GB2312"/>
          <w:highlight w:val="none"/>
        </w:rPr>
        <w:t>5.2023</w:t>
      </w:r>
      <w:r>
        <w:rPr>
          <w:rFonts w:ascii="宋体" w:hAnsi="宋体"/>
          <w:highlight w:val="none"/>
        </w:rPr>
        <w:t>年度青岛农业大学团员教育评议信息汇总表</w:t>
      </w:r>
    </w:p>
    <w:p>
      <w:pPr>
        <w:ind w:firstLine="0" w:firstLineChars="0"/>
        <w:rPr>
          <w:rFonts w:ascii="宋体" w:hAnsi="宋体"/>
          <w:highlight w:val="none"/>
        </w:rPr>
      </w:pPr>
    </w:p>
    <w:p>
      <w:pPr>
        <w:rPr>
          <w:rFonts w:ascii="宋体" w:hAnsi="宋体"/>
          <w:highlight w:val="none"/>
        </w:rPr>
      </w:pPr>
    </w:p>
    <w:p>
      <w:pPr>
        <w:wordWrap w:val="0"/>
        <w:jc w:val="right"/>
        <w:rPr>
          <w:rFonts w:ascii="宋体" w:hAnsi="宋体"/>
          <w:highlight w:val="none"/>
        </w:rPr>
      </w:pPr>
      <w:r>
        <w:rPr>
          <w:rFonts w:ascii="宋体" w:hAnsi="宋体"/>
          <w:highlight w:val="none"/>
        </w:rPr>
        <w:t xml:space="preserve">共青团青岛农业大学团委 </w:t>
      </w:r>
    </w:p>
    <w:p>
      <w:pPr>
        <w:wordWrap w:val="0"/>
        <w:jc w:val="right"/>
        <w:rPr>
          <w:rFonts w:ascii="宋体" w:hAnsi="宋体"/>
          <w:highlight w:val="none"/>
        </w:rPr>
      </w:pPr>
      <w:r>
        <w:rPr>
          <w:rFonts w:ascii="宋体" w:hAnsi="宋体"/>
          <w:highlight w:val="none"/>
        </w:rPr>
        <w:t>2023年</w:t>
      </w:r>
      <w:r>
        <w:rPr>
          <w:rFonts w:hint="eastAsia" w:ascii="宋体" w:hAnsi="宋体"/>
          <w:highlight w:val="none"/>
        </w:rPr>
        <w:t>1</w:t>
      </w:r>
      <w:r>
        <w:rPr>
          <w:rFonts w:ascii="宋体" w:hAnsi="宋体"/>
          <w:highlight w:val="none"/>
        </w:rPr>
        <w:t>1月</w:t>
      </w:r>
      <w:r>
        <w:rPr>
          <w:rFonts w:hint="eastAsia" w:ascii="宋体" w:hAnsi="宋体"/>
          <w:highlight w:val="none"/>
        </w:rPr>
        <w:t>2</w:t>
      </w:r>
      <w:r>
        <w:rPr>
          <w:rFonts w:hint="eastAsia" w:ascii="宋体" w:hAnsi="宋体"/>
          <w:highlight w:val="none"/>
          <w:lang w:val="en-US" w:eastAsia="zh-CN"/>
        </w:rPr>
        <w:t>2</w:t>
      </w:r>
      <w:r>
        <w:rPr>
          <w:rFonts w:ascii="宋体" w:hAnsi="宋体"/>
          <w:highlight w:val="none"/>
        </w:rPr>
        <w:t xml:space="preserve">日   </w:t>
      </w:r>
    </w:p>
    <w:p>
      <w:pPr>
        <w:widowControl/>
        <w:spacing w:line="240" w:lineRule="auto"/>
        <w:ind w:firstLine="0" w:firstLineChars="0"/>
        <w:jc w:val="left"/>
        <w:rPr>
          <w:rFonts w:ascii="宋体" w:hAnsi="宋体"/>
          <w:highlight w:val="none"/>
        </w:rPr>
      </w:pPr>
      <w:r>
        <w:rPr>
          <w:rFonts w:ascii="宋体" w:hAnsi="宋体"/>
          <w:highlight w:val="none"/>
        </w:rPr>
        <w:br w:type="page"/>
      </w:r>
    </w:p>
    <w:p>
      <w:pPr>
        <w:ind w:firstLine="0" w:firstLineChars="0"/>
        <w:rPr>
          <w:rFonts w:ascii="宋体" w:hAnsi="宋体" w:eastAsia="黑体"/>
          <w:szCs w:val="32"/>
          <w:highlight w:val="none"/>
        </w:rPr>
      </w:pPr>
      <w:r>
        <w:rPr>
          <w:rFonts w:hint="eastAsia" w:ascii="宋体" w:hAnsi="宋体" w:eastAsia="黑体"/>
          <w:szCs w:val="32"/>
          <w:highlight w:val="none"/>
        </w:rPr>
        <w:t>附件</w:t>
      </w:r>
      <w:r>
        <w:rPr>
          <w:rFonts w:hint="eastAsia" w:ascii="宋体" w:hAnsi="宋体" w:eastAsiaTheme="minorEastAsia" w:cstheme="minorEastAsia"/>
          <w:szCs w:val="32"/>
          <w:highlight w:val="none"/>
        </w:rPr>
        <w:t>1</w:t>
      </w:r>
    </w:p>
    <w:p>
      <w:pPr>
        <w:ind w:firstLine="0" w:firstLineChars="0"/>
        <w:rPr>
          <w:rFonts w:ascii="宋体" w:hAnsi="宋体" w:eastAsia="黑体"/>
          <w:szCs w:val="32"/>
          <w:highlight w:val="none"/>
        </w:rPr>
      </w:pPr>
    </w:p>
    <w:p>
      <w:pPr>
        <w:ind w:firstLine="0" w:firstLineChars="0"/>
        <w:jc w:val="center"/>
        <w:rPr>
          <w:rFonts w:ascii="宋体" w:hAnsi="宋体" w:eastAsia="方正小标宋简体" w:cs="方正小标宋简体"/>
          <w:bCs/>
          <w:color w:val="000000"/>
          <w:sz w:val="44"/>
          <w:szCs w:val="44"/>
          <w:highlight w:val="none"/>
        </w:rPr>
      </w:pPr>
      <w:r>
        <w:rPr>
          <w:rFonts w:hint="eastAsia" w:ascii="宋体" w:hAnsi="宋体" w:eastAsia="方正小标宋简体" w:cs="方正小标宋简体"/>
          <w:bCs/>
          <w:color w:val="000000"/>
          <w:sz w:val="44"/>
          <w:szCs w:val="44"/>
          <w:highlight w:val="none"/>
        </w:rPr>
        <w:t>2023年度</w:t>
      </w:r>
      <w:r>
        <w:rPr>
          <w:rFonts w:ascii="宋体" w:hAnsi="宋体" w:eastAsia="方正小标宋简体" w:cs="方正小标宋简体"/>
          <w:bCs/>
          <w:color w:val="000000"/>
          <w:sz w:val="44"/>
          <w:szCs w:val="44"/>
          <w:highlight w:val="none"/>
        </w:rPr>
        <w:t>青岛农业</w:t>
      </w:r>
      <w:r>
        <w:rPr>
          <w:rFonts w:hint="eastAsia" w:ascii="宋体" w:hAnsi="宋体" w:eastAsia="方正小标宋简体" w:cs="方正小标宋简体"/>
          <w:bCs/>
          <w:color w:val="000000"/>
          <w:sz w:val="44"/>
          <w:szCs w:val="44"/>
          <w:highlight w:val="none"/>
        </w:rPr>
        <w:t>大学团员教育评议</w:t>
      </w:r>
    </w:p>
    <w:p>
      <w:pPr>
        <w:ind w:firstLine="0" w:firstLineChars="0"/>
        <w:jc w:val="center"/>
        <w:rPr>
          <w:rFonts w:ascii="宋体" w:hAnsi="宋体" w:eastAsia="方正小标宋简体" w:cs="方正小标宋简体"/>
          <w:bCs/>
          <w:color w:val="000000"/>
          <w:sz w:val="44"/>
          <w:szCs w:val="44"/>
          <w:highlight w:val="none"/>
        </w:rPr>
      </w:pPr>
      <w:r>
        <w:rPr>
          <w:rFonts w:ascii="宋体" w:hAnsi="宋体" w:eastAsia="方正小标宋简体" w:cs="方正小标宋简体"/>
          <w:bCs/>
          <w:color w:val="000000"/>
          <w:sz w:val="44"/>
          <w:szCs w:val="44"/>
          <w:highlight w:val="none"/>
        </w:rPr>
        <w:t>评价条件和主要表现</w:t>
      </w:r>
    </w:p>
    <w:p>
      <w:pPr>
        <w:rPr>
          <w:rFonts w:ascii="宋体" w:hAnsi="宋体"/>
          <w:highlight w:val="none"/>
        </w:rPr>
      </w:pPr>
    </w:p>
    <w:p>
      <w:pPr>
        <w:rPr>
          <w:rFonts w:ascii="宋体" w:hAnsi="宋体"/>
          <w:highlight w:val="none"/>
        </w:rPr>
      </w:pPr>
      <w:r>
        <w:rPr>
          <w:rFonts w:ascii="宋体" w:hAnsi="宋体"/>
          <w:highlight w:val="none"/>
        </w:rPr>
        <w:t>团员评议等次分为：优秀、合格、基本合格、不合格四个等次，其中优秀等次团员数量应控制在参加评议</w:t>
      </w:r>
      <w:r>
        <w:rPr>
          <w:rFonts w:hint="eastAsia" w:ascii="宋体" w:hAnsi="宋体"/>
          <w:highlight w:val="none"/>
          <w:lang w:val="en-US" w:eastAsia="zh-CN"/>
        </w:rPr>
        <w:t>的支部</w:t>
      </w:r>
      <w:r>
        <w:rPr>
          <w:rFonts w:ascii="宋体" w:hAnsi="宋体"/>
          <w:highlight w:val="none"/>
        </w:rPr>
        <w:t>团员人数的</w:t>
      </w:r>
      <w:r>
        <w:rPr>
          <w:rFonts w:ascii="宋体" w:hAnsi="宋体" w:eastAsia="黑体"/>
          <w:highlight w:val="none"/>
        </w:rPr>
        <w:t>30%以内</w:t>
      </w:r>
      <w:r>
        <w:rPr>
          <w:rFonts w:ascii="宋体" w:hAnsi="宋体"/>
          <w:highlight w:val="none"/>
        </w:rPr>
        <w:t>。</w:t>
      </w:r>
    </w:p>
    <w:p>
      <w:pPr>
        <w:pStyle w:val="2"/>
        <w:rPr>
          <w:rFonts w:ascii="宋体" w:hAnsi="宋体"/>
          <w:highlight w:val="none"/>
        </w:rPr>
      </w:pPr>
      <w:r>
        <w:rPr>
          <w:rFonts w:ascii="宋体" w:hAnsi="宋体"/>
          <w:highlight w:val="none"/>
        </w:rPr>
        <w:t>一、优秀团员的主要条件</w:t>
      </w:r>
    </w:p>
    <w:p>
      <w:pPr>
        <w:rPr>
          <w:rFonts w:ascii="宋体" w:hAnsi="宋体"/>
          <w:highlight w:val="none"/>
        </w:rPr>
      </w:pPr>
      <w:r>
        <w:rPr>
          <w:rFonts w:ascii="宋体" w:hAnsi="宋体"/>
          <w:highlight w:val="none"/>
        </w:rPr>
        <w:t>理想信念坚定，拥护党的领导，热爱祖国、热爱人民、热爱社会主义；政治意识、大局意识、核心意识、看齐意识强，自觉维护以习近平同志为核心的党中央权威；积极践行社会主义核心价值观，遵纪守法，品格高尚；自觉遵守团章,模范履行团员义务，积极参加团的组织生活和活动，有强烈的团员意识和荣誉感；学习成绩优秀,工作本领过硬,善于创新创造,具有艰苦奋斗精神，在本职岗位上业绩突出，能够发挥模范带头作用；成为注册志愿者，积极参加公益活动；在团员青年中有较高威信。</w:t>
      </w:r>
    </w:p>
    <w:p>
      <w:pPr>
        <w:pStyle w:val="2"/>
        <w:rPr>
          <w:rFonts w:ascii="宋体" w:hAnsi="宋体"/>
          <w:highlight w:val="none"/>
        </w:rPr>
      </w:pPr>
      <w:r>
        <w:rPr>
          <w:rFonts w:ascii="宋体" w:hAnsi="宋体"/>
          <w:highlight w:val="none"/>
        </w:rPr>
        <w:t>二、合格团员的主要条件</w:t>
      </w:r>
    </w:p>
    <w:p>
      <w:pPr>
        <w:rPr>
          <w:rFonts w:ascii="宋体" w:hAnsi="宋体"/>
          <w:highlight w:val="none"/>
        </w:rPr>
      </w:pPr>
      <w:r>
        <w:rPr>
          <w:rFonts w:ascii="宋体" w:hAnsi="宋体"/>
          <w:highlight w:val="none"/>
        </w:rPr>
        <w:t>拥护党的领导，执行党的路线、方针、政策；能够遵守政治纪律和政治规矩，自觉维护以习近平同志为核心的党中央权威；能够践行社会主义核心价值观，遵守国家法律法规和团的纪律；能够执行团的决议，完成团组织交给的任务，参加团的组织生活和活动；能够在学习、生产、工作及其他社会生活中发挥积极作用；关心集体，乐于助人，热心帮助青年进步，积极参加志愿服务活动。</w:t>
      </w:r>
    </w:p>
    <w:p>
      <w:pPr>
        <w:pStyle w:val="2"/>
        <w:rPr>
          <w:rFonts w:ascii="宋体" w:hAnsi="宋体"/>
          <w:highlight w:val="none"/>
        </w:rPr>
      </w:pPr>
      <w:r>
        <w:rPr>
          <w:rFonts w:ascii="宋体" w:hAnsi="宋体"/>
          <w:highlight w:val="none"/>
        </w:rPr>
        <w:t>三、基本合格团员的主要表现</w:t>
      </w:r>
    </w:p>
    <w:p>
      <w:pPr>
        <w:rPr>
          <w:rFonts w:ascii="宋体" w:hAnsi="宋体"/>
          <w:highlight w:val="none"/>
        </w:rPr>
      </w:pPr>
      <w:r>
        <w:rPr>
          <w:rFonts w:ascii="宋体" w:hAnsi="宋体"/>
          <w:highlight w:val="none"/>
        </w:rPr>
        <w:t>在评议年度内受过警告、严重警告或撤销团内职务处分，但尚没有不合格团员的各种表现的。</w:t>
      </w:r>
    </w:p>
    <w:p>
      <w:pPr>
        <w:pStyle w:val="2"/>
        <w:rPr>
          <w:rFonts w:ascii="宋体" w:hAnsi="宋体"/>
          <w:highlight w:val="none"/>
        </w:rPr>
      </w:pPr>
      <w:r>
        <w:rPr>
          <w:rFonts w:ascii="宋体" w:hAnsi="宋体"/>
          <w:highlight w:val="none"/>
        </w:rPr>
        <w:t>四、不合格团员的主要表现</w:t>
      </w:r>
    </w:p>
    <w:p>
      <w:pPr>
        <w:rPr>
          <w:rFonts w:ascii="宋体" w:hAnsi="宋体"/>
          <w:highlight w:val="none"/>
        </w:rPr>
      </w:pPr>
      <w:r>
        <w:rPr>
          <w:rFonts w:ascii="宋体" w:hAnsi="宋体"/>
          <w:highlight w:val="none"/>
        </w:rPr>
        <w:t>理想信念动摇；严重违反政治纪律、政治规矩和组织纪律；团的组织意识淡漠，不能履行团员义务、不执行团的决议，长期无故不参加团的组织生活和活动；有违法违纪行为；道德水平低下，行为失当，造成不良影响；在评议年度内受过留团察看处分或行政处分且无明显改进。</w:t>
      </w:r>
    </w:p>
    <w:p>
      <w:pPr>
        <w:rPr>
          <w:rFonts w:ascii="宋体" w:hAnsi="宋体"/>
          <w:highlight w:val="none"/>
        </w:rPr>
      </w:pPr>
      <w:r>
        <w:rPr>
          <w:rFonts w:hint="eastAsia" w:ascii="宋体" w:hAnsi="宋体"/>
          <w:highlight w:val="none"/>
        </w:rPr>
        <w:t>触发《普通高校学生团员先进性评价参考细则》“负面清单”情形的，年度不得评优，团组织应视情节给予组织处置或纪律处分。</w:t>
      </w:r>
    </w:p>
    <w:p>
      <w:pPr>
        <w:rPr>
          <w:rFonts w:ascii="宋体" w:hAnsi="宋体"/>
          <w:highlight w:val="none"/>
        </w:rPr>
      </w:pPr>
    </w:p>
    <w:p>
      <w:pPr>
        <w:rPr>
          <w:rFonts w:ascii="宋体" w:hAnsi="宋体"/>
          <w:highlight w:val="none"/>
        </w:rPr>
      </w:pPr>
    </w:p>
    <w:p>
      <w:pPr>
        <w:ind w:firstLine="0" w:firstLineChars="0"/>
        <w:rPr>
          <w:rFonts w:ascii="宋体" w:hAnsi="宋体" w:eastAsia="方正小标宋简体" w:cs="方正小标宋简体"/>
          <w:bCs/>
          <w:color w:val="000000"/>
          <w:sz w:val="44"/>
          <w:szCs w:val="44"/>
          <w:highlight w:val="none"/>
        </w:rPr>
      </w:pPr>
    </w:p>
    <w:p>
      <w:pPr>
        <w:ind w:firstLine="0" w:firstLineChars="0"/>
        <w:rPr>
          <w:rFonts w:ascii="宋体" w:hAnsi="宋体" w:eastAsia="方正小标宋简体" w:cs="方正小标宋简体"/>
          <w:bCs/>
          <w:color w:val="000000"/>
          <w:sz w:val="44"/>
          <w:szCs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0" w:num="1"/>
          <w:docGrid w:type="lines" w:linePitch="318" w:charSpace="0"/>
        </w:sectPr>
      </w:pPr>
    </w:p>
    <w:p>
      <w:pPr>
        <w:ind w:firstLine="0" w:firstLineChars="0"/>
        <w:rPr>
          <w:rFonts w:ascii="宋体" w:hAnsi="宋体" w:eastAsia="黑体"/>
          <w:szCs w:val="32"/>
          <w:highlight w:val="none"/>
        </w:rPr>
      </w:pPr>
      <w:r>
        <w:rPr>
          <w:rFonts w:ascii="宋体" w:hAnsi="宋体" w:eastAsia="黑体"/>
          <w:szCs w:val="32"/>
          <w:highlight w:val="none"/>
        </w:rPr>
        <w:t>附件</w:t>
      </w:r>
      <w:r>
        <w:rPr>
          <w:rFonts w:hint="eastAsia" w:ascii="宋体" w:hAnsi="宋体" w:eastAsiaTheme="majorEastAsia" w:cstheme="majorEastAsia"/>
          <w:szCs w:val="32"/>
          <w:highlight w:val="none"/>
        </w:rPr>
        <w:t>2</w:t>
      </w:r>
    </w:p>
    <w:p>
      <w:pPr>
        <w:ind w:firstLine="0" w:firstLineChars="0"/>
        <w:rPr>
          <w:rFonts w:ascii="宋体" w:hAnsi="宋体" w:eastAsia="黑体"/>
          <w:szCs w:val="32"/>
          <w:highlight w:val="none"/>
        </w:rPr>
      </w:pPr>
    </w:p>
    <w:p>
      <w:pPr>
        <w:tabs>
          <w:tab w:val="left" w:pos="640"/>
        </w:tabs>
        <w:ind w:firstLine="0" w:firstLineChars="0"/>
        <w:jc w:val="center"/>
        <w:rPr>
          <w:rFonts w:ascii="宋体" w:hAnsi="宋体" w:eastAsia="方正小标宋简体" w:cs="方正小标宋简体"/>
          <w:bCs/>
          <w:color w:val="000000"/>
          <w:sz w:val="44"/>
          <w:szCs w:val="44"/>
          <w:highlight w:val="none"/>
        </w:rPr>
      </w:pPr>
      <w:r>
        <w:rPr>
          <w:rFonts w:hint="eastAsia" w:ascii="宋体" w:hAnsi="宋体" w:eastAsia="方正小标宋简体" w:cs="方正小标宋简体"/>
          <w:bCs/>
          <w:color w:val="000000"/>
          <w:sz w:val="44"/>
          <w:szCs w:val="44"/>
          <w:highlight w:val="none"/>
        </w:rPr>
        <w:t>2023年度</w:t>
      </w:r>
      <w:r>
        <w:rPr>
          <w:rFonts w:ascii="宋体" w:hAnsi="宋体" w:eastAsia="方正小标宋简体" w:cs="方正小标宋简体"/>
          <w:bCs/>
          <w:color w:val="000000"/>
          <w:sz w:val="44"/>
          <w:szCs w:val="44"/>
          <w:highlight w:val="none"/>
        </w:rPr>
        <w:t>青岛农业</w:t>
      </w:r>
      <w:r>
        <w:rPr>
          <w:rFonts w:hint="eastAsia" w:ascii="宋体" w:hAnsi="宋体" w:eastAsia="方正小标宋简体" w:cs="方正小标宋简体"/>
          <w:bCs/>
          <w:color w:val="000000"/>
          <w:sz w:val="44"/>
          <w:szCs w:val="44"/>
          <w:highlight w:val="none"/>
        </w:rPr>
        <w:t>大学</w:t>
      </w:r>
      <w:r>
        <w:rPr>
          <w:rFonts w:ascii="宋体" w:hAnsi="宋体" w:eastAsia="方正小标宋简体" w:cs="方正小标宋简体"/>
          <w:bCs/>
          <w:color w:val="000000"/>
          <w:sz w:val="44"/>
          <w:szCs w:val="44"/>
          <w:highlight w:val="none"/>
        </w:rPr>
        <w:t>※※学院</w:t>
      </w:r>
    </w:p>
    <w:p>
      <w:pPr>
        <w:tabs>
          <w:tab w:val="left" w:pos="640"/>
        </w:tabs>
        <w:ind w:firstLine="0" w:firstLineChars="0"/>
        <w:jc w:val="center"/>
        <w:rPr>
          <w:rFonts w:ascii="宋体" w:hAnsi="宋体" w:eastAsia="方正小标宋简体" w:cs="方正小标宋简体"/>
          <w:bCs/>
          <w:color w:val="000000"/>
          <w:sz w:val="44"/>
          <w:szCs w:val="44"/>
          <w:highlight w:val="none"/>
        </w:rPr>
      </w:pPr>
      <w:r>
        <w:rPr>
          <w:rFonts w:hint="eastAsia" w:ascii="宋体" w:hAnsi="宋体" w:eastAsia="方正小标宋简体" w:cs="方正小标宋简体"/>
          <w:bCs/>
          <w:color w:val="000000"/>
          <w:sz w:val="44"/>
          <w:szCs w:val="44"/>
          <w:highlight w:val="none"/>
        </w:rPr>
        <w:t>团员教育评议测</w:t>
      </w:r>
      <w:r>
        <w:rPr>
          <w:rFonts w:ascii="宋体" w:hAnsi="宋体" w:eastAsia="方正小标宋简体" w:cs="方正小标宋简体"/>
          <w:bCs/>
          <w:color w:val="000000"/>
          <w:sz w:val="44"/>
          <w:szCs w:val="44"/>
          <w:highlight w:val="none"/>
        </w:rPr>
        <w:t>投票</w:t>
      </w:r>
    </w:p>
    <w:p>
      <w:pPr>
        <w:tabs>
          <w:tab w:val="left" w:pos="640"/>
        </w:tabs>
        <w:ind w:firstLine="0" w:firstLineChars="0"/>
        <w:jc w:val="center"/>
        <w:rPr>
          <w:rFonts w:ascii="宋体" w:hAnsi="宋体" w:eastAsia="方正小标宋简体" w:cs="方正小标宋简体"/>
          <w:bCs/>
          <w:color w:val="000000"/>
          <w:sz w:val="36"/>
          <w:szCs w:val="36"/>
          <w:highlight w:val="none"/>
        </w:rPr>
      </w:pPr>
    </w:p>
    <w:p>
      <w:pPr>
        <w:ind w:firstLine="638" w:firstLineChars="228"/>
        <w:rPr>
          <w:rFonts w:ascii="宋体" w:hAnsi="宋体" w:eastAsia="黑体"/>
          <w:sz w:val="28"/>
          <w:szCs w:val="28"/>
          <w:highlight w:val="none"/>
        </w:rPr>
      </w:pPr>
      <w:r>
        <w:rPr>
          <w:rFonts w:hint="eastAsia" w:ascii="宋体" w:hAnsi="宋体" w:eastAsia="黑体"/>
          <w:sz w:val="28"/>
          <w:szCs w:val="28"/>
          <w:highlight w:val="none"/>
        </w:rPr>
        <w:t>团支部名称（全称）：                     团支书：</w:t>
      </w:r>
    </w:p>
    <w:tbl>
      <w:tblPr>
        <w:tblStyle w:val="14"/>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666"/>
        <w:gridCol w:w="1432"/>
        <w:gridCol w:w="1432"/>
        <w:gridCol w:w="143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宋体" w:hAnsi="宋体" w:eastAsia="黑体"/>
                <w:sz w:val="24"/>
                <w:highlight w:val="none"/>
              </w:rPr>
            </w:pPr>
            <w:r>
              <w:rPr>
                <w:rFonts w:hint="eastAsia" w:ascii="宋体" w:hAnsi="宋体" w:eastAsia="黑体"/>
                <w:sz w:val="24"/>
                <w:highlight w:val="none"/>
              </w:rPr>
              <w:t>序号</w:t>
            </w:r>
          </w:p>
        </w:tc>
        <w:tc>
          <w:tcPr>
            <w:tcW w:w="1666" w:type="dxa"/>
            <w:vMerge w:val="restart"/>
            <w:tcBorders>
              <w:top w:val="single" w:color="auto" w:sz="4" w:space="0"/>
              <w:left w:val="single" w:color="auto" w:sz="4" w:space="0"/>
              <w:bottom w:val="single" w:color="auto" w:sz="4" w:space="0"/>
              <w:right w:val="single" w:color="auto" w:sz="4" w:space="0"/>
            </w:tcBorders>
            <w:vAlign w:val="center"/>
          </w:tcPr>
          <w:p>
            <w:pPr>
              <w:tabs>
                <w:tab w:val="left" w:pos="825"/>
                <w:tab w:val="center" w:pos="2657"/>
              </w:tabs>
              <w:spacing w:line="440" w:lineRule="exact"/>
              <w:ind w:firstLine="0" w:firstLineChars="0"/>
              <w:jc w:val="center"/>
              <w:rPr>
                <w:rFonts w:ascii="宋体" w:hAnsi="宋体" w:eastAsia="黑体"/>
                <w:sz w:val="24"/>
                <w:highlight w:val="none"/>
              </w:rPr>
            </w:pPr>
            <w:r>
              <w:rPr>
                <w:rFonts w:hint="eastAsia" w:ascii="宋体" w:hAnsi="宋体" w:eastAsia="黑体"/>
                <w:sz w:val="24"/>
                <w:highlight w:val="none"/>
              </w:rPr>
              <w:t>姓</w:t>
            </w:r>
            <w:r>
              <w:rPr>
                <w:rFonts w:ascii="宋体" w:hAnsi="宋体" w:eastAsia="黑体"/>
                <w:sz w:val="24"/>
                <w:highlight w:val="none"/>
              </w:rPr>
              <w:t xml:space="preserve">  </w:t>
            </w:r>
            <w:r>
              <w:rPr>
                <w:rFonts w:hint="eastAsia" w:ascii="宋体" w:hAnsi="宋体" w:eastAsia="黑体"/>
                <w:sz w:val="24"/>
                <w:highlight w:val="none"/>
              </w:rPr>
              <w:t>名</w:t>
            </w:r>
          </w:p>
        </w:tc>
        <w:tc>
          <w:tcPr>
            <w:tcW w:w="5729" w:type="dxa"/>
            <w:gridSpan w:val="4"/>
            <w:tcBorders>
              <w:top w:val="single" w:color="auto" w:sz="4" w:space="0"/>
              <w:left w:val="single" w:color="auto" w:sz="4" w:space="0"/>
              <w:bottom w:val="single" w:color="auto" w:sz="4" w:space="0"/>
              <w:right w:val="single" w:color="auto" w:sz="4" w:space="0"/>
            </w:tcBorders>
            <w:vAlign w:val="center"/>
          </w:tcPr>
          <w:p>
            <w:pPr>
              <w:tabs>
                <w:tab w:val="left" w:pos="1425"/>
              </w:tabs>
              <w:spacing w:line="440" w:lineRule="exact"/>
              <w:ind w:firstLine="0" w:firstLineChars="0"/>
              <w:jc w:val="center"/>
              <w:rPr>
                <w:rFonts w:ascii="宋体" w:hAnsi="宋体" w:eastAsia="黑体"/>
                <w:sz w:val="24"/>
                <w:highlight w:val="none"/>
              </w:rPr>
            </w:pPr>
            <w:r>
              <w:rPr>
                <w:rFonts w:hint="eastAsia" w:ascii="宋体" w:hAnsi="宋体" w:eastAsia="黑体"/>
                <w:sz w:val="24"/>
                <w:highlight w:val="none"/>
              </w:rPr>
              <w:t>测评</w:t>
            </w:r>
            <w:r>
              <w:rPr>
                <w:rFonts w:ascii="宋体" w:hAnsi="宋体" w:eastAsia="黑体"/>
                <w:sz w:val="24"/>
                <w:highlight w:val="none"/>
              </w:rPr>
              <w:t>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宋体" w:hAnsi="宋体" w:eastAsia="黑体"/>
                <w:sz w:val="24"/>
                <w:highlight w:val="none"/>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宋体" w:hAnsi="宋体" w:eastAsia="黑体"/>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宋体" w:hAnsi="宋体" w:eastAsia="黑体"/>
                <w:sz w:val="24"/>
                <w:highlight w:val="none"/>
              </w:rPr>
            </w:pPr>
            <w:r>
              <w:rPr>
                <w:rFonts w:hint="eastAsia" w:ascii="宋体" w:hAnsi="宋体" w:eastAsia="黑体"/>
                <w:sz w:val="24"/>
                <w:highlight w:val="none"/>
              </w:rPr>
              <w:t>优秀</w:t>
            </w:r>
          </w:p>
        </w:tc>
        <w:tc>
          <w:tcPr>
            <w:tcW w:w="14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宋体" w:hAnsi="宋体" w:eastAsia="黑体"/>
                <w:sz w:val="24"/>
                <w:highlight w:val="none"/>
              </w:rPr>
            </w:pPr>
            <w:r>
              <w:rPr>
                <w:rFonts w:hint="eastAsia" w:ascii="宋体" w:hAnsi="宋体" w:eastAsia="黑体"/>
                <w:sz w:val="24"/>
                <w:highlight w:val="none"/>
              </w:rPr>
              <w:t>合格</w:t>
            </w:r>
          </w:p>
        </w:tc>
        <w:tc>
          <w:tcPr>
            <w:tcW w:w="143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宋体" w:hAnsi="宋体" w:eastAsia="黑体"/>
                <w:sz w:val="24"/>
                <w:highlight w:val="none"/>
              </w:rPr>
            </w:pPr>
            <w:r>
              <w:rPr>
                <w:rFonts w:hint="eastAsia" w:ascii="宋体" w:hAnsi="宋体" w:eastAsia="黑体"/>
                <w:sz w:val="24"/>
                <w:highlight w:val="none"/>
              </w:rPr>
              <w:t>基本合格</w:t>
            </w:r>
          </w:p>
        </w:tc>
        <w:tc>
          <w:tcPr>
            <w:tcW w:w="14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center"/>
              <w:rPr>
                <w:rFonts w:ascii="宋体" w:hAnsi="宋体" w:eastAsia="黑体"/>
                <w:sz w:val="24"/>
                <w:highlight w:val="none"/>
              </w:rPr>
            </w:pPr>
            <w:r>
              <w:rPr>
                <w:rFonts w:hint="eastAsia" w:ascii="宋体" w:hAnsi="宋体" w:eastAsia="黑体"/>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0" w:firstLineChars="0"/>
              <w:jc w:val="center"/>
              <w:rPr>
                <w:rFonts w:ascii="宋体" w:hAnsi="宋体" w:cs="仿宋_GB2312"/>
                <w:sz w:val="24"/>
                <w:highlight w:val="none"/>
              </w:rPr>
            </w:pPr>
          </w:p>
        </w:tc>
      </w:tr>
    </w:tbl>
    <w:p>
      <w:pPr>
        <w:spacing w:line="240" w:lineRule="auto"/>
        <w:ind w:firstLine="420"/>
        <w:rPr>
          <w:rFonts w:ascii="宋体" w:hAnsi="宋体"/>
          <w:sz w:val="21"/>
          <w:szCs w:val="21"/>
          <w:highlight w:val="none"/>
        </w:rPr>
      </w:pPr>
      <w:r>
        <w:rPr>
          <w:rFonts w:ascii="宋体" w:hAnsi="宋体"/>
          <w:sz w:val="21"/>
          <w:szCs w:val="21"/>
          <w:highlight w:val="none"/>
        </w:rPr>
        <w:t>注：1.本表格可由团支书填写姓名后打印，在支部大会上分发给全体团员用于测评投票；</w:t>
      </w:r>
    </w:p>
    <w:p>
      <w:pPr>
        <w:spacing w:line="240" w:lineRule="auto"/>
        <w:ind w:firstLine="840" w:firstLineChars="400"/>
        <w:rPr>
          <w:rFonts w:ascii="宋体" w:hAnsi="宋体"/>
          <w:sz w:val="21"/>
          <w:szCs w:val="21"/>
          <w:highlight w:val="none"/>
        </w:rPr>
        <w:sectPr>
          <w:pgSz w:w="11906" w:h="16838"/>
          <w:pgMar w:top="2098" w:right="1474" w:bottom="1984" w:left="1587" w:header="851" w:footer="992" w:gutter="0"/>
          <w:cols w:space="0" w:num="1"/>
          <w:docGrid w:type="lines" w:linePitch="318" w:charSpace="0"/>
        </w:sectPr>
      </w:pPr>
      <w:r>
        <w:rPr>
          <w:rFonts w:ascii="宋体" w:hAnsi="宋体"/>
          <w:sz w:val="21"/>
          <w:szCs w:val="21"/>
          <w:highlight w:val="none"/>
        </w:rPr>
        <w:t>2.</w:t>
      </w:r>
      <w:r>
        <w:rPr>
          <w:rFonts w:hint="eastAsia" w:ascii="宋体" w:hAnsi="宋体"/>
          <w:sz w:val="21"/>
          <w:szCs w:val="21"/>
          <w:highlight w:val="none"/>
        </w:rPr>
        <w:t>优秀等次团员数量应控制在参加评议团员人数的30%以内</w:t>
      </w:r>
      <w:r>
        <w:rPr>
          <w:rFonts w:ascii="宋体" w:hAnsi="宋体"/>
          <w:sz w:val="21"/>
          <w:szCs w:val="21"/>
          <w:highlight w:val="none"/>
        </w:rPr>
        <w:t>。</w:t>
      </w:r>
    </w:p>
    <w:p>
      <w:pPr>
        <w:ind w:firstLine="0" w:firstLineChars="0"/>
        <w:rPr>
          <w:rFonts w:ascii="宋体" w:hAnsi="宋体" w:eastAsia="黑体"/>
          <w:szCs w:val="32"/>
          <w:highlight w:val="none"/>
        </w:rPr>
      </w:pPr>
      <w:r>
        <w:rPr>
          <w:rFonts w:ascii="宋体" w:hAnsi="宋体" w:eastAsia="黑体"/>
          <w:szCs w:val="32"/>
          <w:highlight w:val="none"/>
        </w:rPr>
        <w:t>附件</w:t>
      </w:r>
      <w:r>
        <w:rPr>
          <w:rFonts w:hint="eastAsia" w:ascii="宋体" w:hAnsi="宋体" w:eastAsiaTheme="minorEastAsia" w:cstheme="minorEastAsia"/>
          <w:szCs w:val="32"/>
          <w:highlight w:val="none"/>
        </w:rPr>
        <w:t>3</w:t>
      </w:r>
    </w:p>
    <w:p>
      <w:pPr>
        <w:rPr>
          <w:rFonts w:ascii="宋体" w:hAnsi="宋体" w:eastAsia="黑体"/>
          <w:szCs w:val="32"/>
          <w:highlight w:val="none"/>
        </w:rPr>
      </w:pPr>
    </w:p>
    <w:p>
      <w:pPr>
        <w:ind w:firstLine="0" w:firstLineChars="0"/>
        <w:jc w:val="center"/>
        <w:rPr>
          <w:rFonts w:ascii="宋体" w:hAnsi="宋体" w:eastAsia="方正小标宋简体" w:cs="方正小标宋简体"/>
          <w:bCs/>
          <w:color w:val="000000"/>
          <w:sz w:val="44"/>
          <w:szCs w:val="44"/>
          <w:highlight w:val="none"/>
        </w:rPr>
      </w:pPr>
      <w:r>
        <w:rPr>
          <w:rFonts w:ascii="宋体" w:hAnsi="宋体" w:eastAsia="方正小标宋简体" w:cs="方正小标宋简体"/>
          <w:bCs/>
          <w:color w:val="000000"/>
          <w:sz w:val="44"/>
          <w:szCs w:val="44"/>
          <w:highlight w:val="none"/>
        </w:rPr>
        <w:t>青岛农业</w:t>
      </w:r>
      <w:r>
        <w:rPr>
          <w:rFonts w:hint="eastAsia" w:ascii="宋体" w:hAnsi="宋体" w:eastAsia="方正小标宋简体" w:cs="方正小标宋简体"/>
          <w:bCs/>
          <w:color w:val="000000"/>
          <w:sz w:val="44"/>
          <w:szCs w:val="44"/>
          <w:highlight w:val="none"/>
        </w:rPr>
        <w:t>大学</w:t>
      </w:r>
      <w:r>
        <w:rPr>
          <w:rFonts w:ascii="宋体" w:hAnsi="宋体" w:eastAsia="方正小标宋简体" w:cs="方正小标宋简体"/>
          <w:bCs/>
          <w:color w:val="000000"/>
          <w:sz w:val="44"/>
          <w:szCs w:val="44"/>
          <w:highlight w:val="none"/>
        </w:rPr>
        <w:t>※※学院</w:t>
      </w:r>
      <w:r>
        <w:rPr>
          <w:rFonts w:hint="eastAsia" w:ascii="宋体" w:hAnsi="宋体" w:eastAsia="方正小标宋简体" w:cs="方正小标宋简体"/>
          <w:bCs/>
          <w:color w:val="000000"/>
          <w:sz w:val="44"/>
          <w:szCs w:val="44"/>
          <w:highlight w:val="none"/>
        </w:rPr>
        <w:t>团委</w:t>
      </w:r>
    </w:p>
    <w:p>
      <w:pPr>
        <w:ind w:firstLine="0" w:firstLineChars="0"/>
        <w:jc w:val="center"/>
        <w:rPr>
          <w:rFonts w:ascii="宋体" w:hAnsi="宋体" w:eastAsia="方正小标宋简体" w:cs="方正小标宋简体"/>
          <w:bCs/>
          <w:color w:val="000000"/>
          <w:sz w:val="44"/>
          <w:szCs w:val="44"/>
          <w:highlight w:val="none"/>
        </w:rPr>
      </w:pPr>
      <w:r>
        <w:rPr>
          <w:rFonts w:hint="eastAsia" w:ascii="宋体" w:hAnsi="宋体" w:eastAsia="方正小标宋简体" w:cs="方正小标宋简体"/>
          <w:bCs/>
          <w:color w:val="000000"/>
          <w:sz w:val="44"/>
          <w:szCs w:val="44"/>
          <w:highlight w:val="none"/>
        </w:rPr>
        <w:t>2023年度团员教育评议和年度团籍注册</w:t>
      </w:r>
    </w:p>
    <w:p>
      <w:pPr>
        <w:ind w:firstLine="0" w:firstLineChars="0"/>
        <w:jc w:val="center"/>
        <w:rPr>
          <w:rFonts w:ascii="宋体" w:hAnsi="宋体" w:eastAsia="方正小标宋简体" w:cs="方正小标宋简体"/>
          <w:bCs/>
          <w:color w:val="000000"/>
          <w:sz w:val="44"/>
          <w:szCs w:val="44"/>
          <w:highlight w:val="none"/>
        </w:rPr>
      </w:pPr>
      <w:r>
        <w:rPr>
          <w:rFonts w:hint="eastAsia" w:ascii="宋体" w:hAnsi="宋体" w:eastAsia="方正小标宋简体" w:cs="方正小标宋简体"/>
          <w:bCs/>
          <w:color w:val="000000"/>
          <w:sz w:val="44"/>
          <w:szCs w:val="44"/>
          <w:highlight w:val="none"/>
        </w:rPr>
        <w:t>工作报告</w:t>
      </w:r>
    </w:p>
    <w:p>
      <w:pPr>
        <w:adjustRightInd w:val="0"/>
        <w:snapToGrid w:val="0"/>
        <w:ind w:firstLine="0" w:firstLineChars="0"/>
        <w:rPr>
          <w:rFonts w:ascii="宋体" w:hAnsi="宋体" w:cs="Times New Roman"/>
          <w:szCs w:val="32"/>
          <w:highlight w:val="none"/>
        </w:rPr>
      </w:pPr>
    </w:p>
    <w:p>
      <w:pPr>
        <w:adjustRightInd w:val="0"/>
        <w:snapToGrid w:val="0"/>
        <w:ind w:firstLine="0" w:firstLineChars="0"/>
        <w:rPr>
          <w:rFonts w:ascii="宋体" w:hAnsi="宋体" w:cs="Times New Roman"/>
          <w:szCs w:val="32"/>
          <w:highlight w:val="none"/>
        </w:rPr>
      </w:pPr>
      <w:r>
        <w:rPr>
          <w:rFonts w:hint="eastAsia" w:ascii="宋体" w:hAnsi="宋体" w:cs="Times New Roman"/>
          <w:szCs w:val="32"/>
          <w:highlight w:val="none"/>
        </w:rPr>
        <w:t>校团委：</w:t>
      </w:r>
    </w:p>
    <w:p>
      <w:pPr>
        <w:adjustRightInd w:val="0"/>
        <w:snapToGrid w:val="0"/>
        <w:spacing w:line="570" w:lineRule="exact"/>
        <w:rPr>
          <w:rFonts w:hint="eastAsia" w:ascii="宋体" w:hAnsi="宋体"/>
          <w:szCs w:val="32"/>
          <w:highlight w:val="none"/>
        </w:rPr>
      </w:pPr>
      <w:r>
        <w:rPr>
          <w:rFonts w:hint="eastAsia" w:ascii="宋体" w:hAnsi="宋体" w:cs="Times New Roman"/>
          <w:szCs w:val="32"/>
          <w:highlight w:val="none"/>
        </w:rPr>
        <w:t>2023年</w:t>
      </w:r>
      <w:r>
        <w:rPr>
          <w:rFonts w:hint="eastAsia" w:ascii="宋体" w:hAnsi="宋体" w:cs="Times New Roman"/>
          <w:szCs w:val="32"/>
          <w:highlight w:val="none"/>
          <w:lang w:val="en-US" w:eastAsia="zh-CN"/>
        </w:rPr>
        <w:t>11月至</w:t>
      </w:r>
      <w:r>
        <w:rPr>
          <w:rFonts w:hint="eastAsia" w:ascii="宋体" w:hAnsi="宋体" w:cs="Times New Roman"/>
          <w:szCs w:val="32"/>
          <w:highlight w:val="none"/>
        </w:rPr>
        <w:t>12月，按照</w:t>
      </w:r>
      <w:r>
        <w:rPr>
          <w:rFonts w:hint="eastAsia" w:ascii="宋体" w:hAnsi="宋体"/>
          <w:szCs w:val="32"/>
          <w:highlight w:val="none"/>
        </w:rPr>
        <w:t>《关于认真做好2023年度团员教育评议和团员年度团籍注册工作的通知》要求，本单位严格程序和标准，精心组织，有序推进，顺利完成了团员教育评议和团员年度团籍注册工作。</w:t>
      </w:r>
    </w:p>
    <w:p>
      <w:pPr>
        <w:adjustRightInd w:val="0"/>
        <w:snapToGrid w:val="0"/>
        <w:spacing w:line="570" w:lineRule="exact"/>
        <w:rPr>
          <w:rFonts w:ascii="宋体" w:hAnsi="宋体" w:cs="Times New Roman"/>
          <w:szCs w:val="32"/>
          <w:highlight w:val="none"/>
        </w:rPr>
      </w:pPr>
      <w:r>
        <w:rPr>
          <w:rFonts w:hint="eastAsia" w:ascii="宋体" w:hAnsi="宋体"/>
          <w:szCs w:val="32"/>
          <w:highlight w:val="none"/>
        </w:rPr>
        <w:t>2023年度，本单位共有※※个团支部和※※名团员完成了团员教育评议工作。经团支部民主评议和学院团委审批，本单位团员教育评议等次为“优秀”的团员有※※名，等次为“不合格”的团员有※※名</w:t>
      </w:r>
      <w:r>
        <w:rPr>
          <w:rFonts w:hint="eastAsia" w:ascii="宋体" w:hAnsi="宋体" w:cs="Times New Roman"/>
          <w:szCs w:val="32"/>
          <w:highlight w:val="none"/>
        </w:rPr>
        <w:t>，具体名单见附件5。</w:t>
      </w:r>
    </w:p>
    <w:p>
      <w:pPr>
        <w:adjustRightInd w:val="0"/>
        <w:snapToGrid w:val="0"/>
        <w:spacing w:line="570" w:lineRule="exact"/>
        <w:rPr>
          <w:rFonts w:hint="eastAsia" w:ascii="宋体" w:hAnsi="宋体" w:cs="Times New Roman"/>
          <w:szCs w:val="32"/>
          <w:highlight w:val="none"/>
        </w:rPr>
      </w:pPr>
      <w:r>
        <w:rPr>
          <w:rFonts w:hint="eastAsia" w:ascii="宋体" w:hAnsi="宋体" w:cs="Times New Roman"/>
          <w:szCs w:val="32"/>
          <w:highlight w:val="none"/>
        </w:rPr>
        <w:t>截止2023年12月，本单位共有※※名团员。结合团员教育评议结果，本单位共有※※名团员完成了年度团籍注册，※※名团员未完成年度团籍注册。其中，未完成年度团籍注册中有※※名团员为</w:t>
      </w:r>
      <w:r>
        <w:rPr>
          <w:rFonts w:hint="eastAsia" w:ascii="宋体" w:hAnsi="宋体"/>
          <w:szCs w:val="32"/>
          <w:highlight w:val="none"/>
        </w:rPr>
        <w:t>暂缓注册或不予注册。</w:t>
      </w:r>
    </w:p>
    <w:p>
      <w:pPr>
        <w:adjustRightInd w:val="0"/>
        <w:snapToGrid w:val="0"/>
        <w:spacing w:line="570" w:lineRule="exact"/>
        <w:rPr>
          <w:rFonts w:ascii="宋体" w:hAnsi="宋体" w:cs="Times New Roman"/>
          <w:szCs w:val="32"/>
          <w:highlight w:val="none"/>
        </w:rPr>
      </w:pPr>
      <w:r>
        <w:rPr>
          <w:rFonts w:hint="eastAsia" w:ascii="宋体" w:hAnsi="宋体" w:cs="Times New Roman"/>
          <w:szCs w:val="32"/>
          <w:highlight w:val="none"/>
        </w:rPr>
        <w:t>特此报告。</w:t>
      </w:r>
    </w:p>
    <w:p>
      <w:pPr>
        <w:wordWrap w:val="0"/>
        <w:adjustRightInd w:val="0"/>
        <w:snapToGrid w:val="0"/>
        <w:spacing w:line="570" w:lineRule="exact"/>
        <w:jc w:val="right"/>
        <w:rPr>
          <w:rFonts w:ascii="宋体" w:hAnsi="宋体" w:cs="Times New Roman"/>
          <w:szCs w:val="32"/>
          <w:highlight w:val="none"/>
        </w:rPr>
      </w:pPr>
      <w:r>
        <w:rPr>
          <w:rFonts w:ascii="宋体" w:hAnsi="宋体" w:cs="Times New Roman"/>
          <w:szCs w:val="32"/>
          <w:highlight w:val="none"/>
        </w:rPr>
        <w:t>※※学院</w:t>
      </w:r>
      <w:r>
        <w:rPr>
          <w:rFonts w:hint="eastAsia" w:ascii="宋体" w:hAnsi="宋体" w:cs="Times New Roman"/>
          <w:szCs w:val="32"/>
          <w:highlight w:val="none"/>
        </w:rPr>
        <w:t>团委</w:t>
      </w:r>
      <w:r>
        <w:rPr>
          <w:rFonts w:ascii="宋体" w:hAnsi="宋体" w:cs="Times New Roman"/>
          <w:szCs w:val="32"/>
          <w:highlight w:val="none"/>
        </w:rPr>
        <w:t>（</w:t>
      </w:r>
      <w:r>
        <w:rPr>
          <w:rFonts w:hint="eastAsia" w:ascii="宋体" w:hAnsi="宋体" w:cs="Times New Roman"/>
          <w:szCs w:val="32"/>
          <w:highlight w:val="none"/>
        </w:rPr>
        <w:t>盖章</w:t>
      </w:r>
      <w:r>
        <w:rPr>
          <w:rFonts w:ascii="宋体" w:hAnsi="宋体" w:cs="Times New Roman"/>
          <w:szCs w:val="32"/>
          <w:highlight w:val="none"/>
        </w:rPr>
        <w:t xml:space="preserve">）  </w:t>
      </w:r>
    </w:p>
    <w:p>
      <w:pPr>
        <w:wordWrap w:val="0"/>
        <w:adjustRightInd w:val="0"/>
        <w:snapToGrid w:val="0"/>
        <w:spacing w:line="570" w:lineRule="exact"/>
        <w:jc w:val="right"/>
        <w:rPr>
          <w:rFonts w:ascii="宋体" w:hAnsi="宋体" w:cs="Times New Roman"/>
          <w:szCs w:val="32"/>
          <w:highlight w:val="none"/>
        </w:rPr>
        <w:sectPr>
          <w:pgSz w:w="11906" w:h="16838"/>
          <w:pgMar w:top="2098" w:right="1474" w:bottom="1984" w:left="1587" w:header="851" w:footer="992" w:gutter="0"/>
          <w:cols w:space="0" w:num="1"/>
          <w:docGrid w:type="lines" w:linePitch="318" w:charSpace="0"/>
        </w:sectPr>
      </w:pPr>
      <w:r>
        <w:rPr>
          <w:rFonts w:hint="eastAsia" w:ascii="宋体" w:hAnsi="宋体" w:cs="Times New Roman"/>
          <w:szCs w:val="32"/>
          <w:highlight w:val="none"/>
        </w:rPr>
        <w:t>2023年12月</w:t>
      </w:r>
      <w:r>
        <w:rPr>
          <w:rFonts w:ascii="宋体" w:hAnsi="宋体" w:cs="Times New Roman"/>
          <w:szCs w:val="32"/>
          <w:highlight w:val="none"/>
        </w:rPr>
        <w:t>※</w:t>
      </w:r>
      <w:r>
        <w:rPr>
          <w:rFonts w:hint="eastAsia" w:ascii="宋体" w:hAnsi="宋体" w:cs="Times New Roman"/>
          <w:szCs w:val="32"/>
          <w:highlight w:val="none"/>
        </w:rPr>
        <w:t>日</w:t>
      </w:r>
      <w:r>
        <w:rPr>
          <w:rFonts w:ascii="宋体" w:hAnsi="宋体" w:cs="Times New Roman"/>
          <w:szCs w:val="32"/>
          <w:highlight w:val="none"/>
        </w:rPr>
        <w:t xml:space="preserve">     </w:t>
      </w:r>
    </w:p>
    <w:p>
      <w:pPr>
        <w:adjustRightInd w:val="0"/>
        <w:snapToGrid w:val="0"/>
        <w:spacing w:line="570" w:lineRule="exact"/>
        <w:ind w:firstLine="0" w:firstLineChars="0"/>
        <w:jc w:val="left"/>
        <w:rPr>
          <w:rFonts w:ascii="宋体" w:hAnsi="宋体" w:eastAsia="黑体" w:cs="黑体"/>
          <w:szCs w:val="32"/>
          <w:highlight w:val="none"/>
        </w:rPr>
      </w:pPr>
      <w:r>
        <w:rPr>
          <w:rFonts w:hint="eastAsia" w:ascii="宋体" w:hAnsi="宋体" w:eastAsia="黑体" w:cs="黑体"/>
          <w:szCs w:val="32"/>
          <w:highlight w:val="none"/>
        </w:rPr>
        <w:t>附件</w:t>
      </w:r>
      <w:r>
        <w:rPr>
          <w:rFonts w:hint="eastAsia" w:ascii="宋体" w:hAnsi="宋体" w:eastAsiaTheme="minorEastAsia" w:cstheme="minorEastAsia"/>
          <w:szCs w:val="32"/>
          <w:highlight w:val="none"/>
        </w:rPr>
        <w:t>4</w:t>
      </w:r>
    </w:p>
    <w:p>
      <w:pPr>
        <w:adjustRightInd w:val="0"/>
        <w:snapToGrid w:val="0"/>
        <w:spacing w:line="570" w:lineRule="exact"/>
        <w:jc w:val="left"/>
        <w:rPr>
          <w:rFonts w:ascii="宋体" w:hAnsi="宋体" w:cs="Times New Roman"/>
          <w:szCs w:val="32"/>
          <w:highlight w:val="none"/>
        </w:rPr>
      </w:pPr>
    </w:p>
    <w:p>
      <w:pPr>
        <w:ind w:firstLine="0" w:firstLineChars="0"/>
        <w:jc w:val="center"/>
        <w:rPr>
          <w:rFonts w:ascii="宋体" w:hAnsi="宋体" w:eastAsia="方正小标宋简体" w:cs="黑体"/>
          <w:sz w:val="44"/>
          <w:szCs w:val="44"/>
          <w:highlight w:val="none"/>
        </w:rPr>
      </w:pPr>
      <w:r>
        <w:rPr>
          <w:rFonts w:ascii="宋体" w:hAnsi="宋体" w:eastAsia="方正小标宋简体" w:cs="黑体"/>
          <w:sz w:val="44"/>
          <w:szCs w:val="44"/>
          <w:highlight w:val="none"/>
        </w:rPr>
        <w:t>“</w:t>
      </w:r>
      <w:r>
        <w:rPr>
          <w:rFonts w:hint="eastAsia" w:ascii="宋体" w:hAnsi="宋体" w:eastAsia="方正小标宋简体" w:cs="黑体"/>
          <w:sz w:val="44"/>
          <w:szCs w:val="44"/>
          <w:highlight w:val="none"/>
        </w:rPr>
        <w:t>智慧团建</w:t>
      </w:r>
      <w:r>
        <w:rPr>
          <w:rFonts w:ascii="宋体" w:hAnsi="宋体" w:eastAsia="方正小标宋简体" w:cs="黑体"/>
          <w:sz w:val="44"/>
          <w:szCs w:val="44"/>
          <w:highlight w:val="none"/>
        </w:rPr>
        <w:t>”</w:t>
      </w:r>
      <w:r>
        <w:rPr>
          <w:rFonts w:hint="eastAsia" w:ascii="宋体" w:hAnsi="宋体" w:eastAsia="方正小标宋简体" w:cs="黑体"/>
          <w:sz w:val="44"/>
          <w:szCs w:val="44"/>
          <w:highlight w:val="none"/>
        </w:rPr>
        <w:t>系统团员教育评议、团员年度</w:t>
      </w:r>
    </w:p>
    <w:p>
      <w:pPr>
        <w:ind w:firstLine="0" w:firstLineChars="0"/>
        <w:jc w:val="center"/>
        <w:rPr>
          <w:rFonts w:ascii="宋体" w:hAnsi="宋体" w:eastAsia="方正小标宋简体" w:cs="黑体"/>
          <w:sz w:val="44"/>
          <w:szCs w:val="44"/>
          <w:highlight w:val="none"/>
        </w:rPr>
      </w:pPr>
      <w:r>
        <w:rPr>
          <w:rFonts w:hint="eastAsia" w:ascii="宋体" w:hAnsi="宋体" w:eastAsia="方正小标宋简体" w:cs="黑体"/>
          <w:sz w:val="44"/>
          <w:szCs w:val="44"/>
          <w:highlight w:val="none"/>
        </w:rPr>
        <w:t>团籍注册操作指南</w:t>
      </w:r>
    </w:p>
    <w:p>
      <w:pPr>
        <w:adjustRightInd w:val="0"/>
        <w:snapToGrid w:val="0"/>
        <w:spacing w:line="570" w:lineRule="exact"/>
        <w:jc w:val="left"/>
        <w:rPr>
          <w:rFonts w:ascii="宋体" w:hAnsi="宋体" w:cs="Times New Roman"/>
          <w:szCs w:val="32"/>
          <w:highlight w:val="none"/>
        </w:rPr>
      </w:pPr>
    </w:p>
    <w:p>
      <w:pPr>
        <w:adjustRightInd w:val="0"/>
        <w:snapToGrid w:val="0"/>
        <w:spacing w:line="570" w:lineRule="exact"/>
        <w:jc w:val="left"/>
        <w:rPr>
          <w:rFonts w:ascii="宋体" w:hAnsi="宋体" w:eastAsia="黑体" w:cs="黑体"/>
          <w:szCs w:val="32"/>
          <w:highlight w:val="none"/>
        </w:rPr>
      </w:pPr>
      <w:r>
        <w:rPr>
          <w:rFonts w:hint="eastAsia" w:ascii="宋体" w:hAnsi="宋体" w:eastAsia="黑体" w:cs="黑体"/>
          <w:szCs w:val="32"/>
          <w:highlight w:val="none"/>
        </w:rPr>
        <w:t>一、团员教育评议</w:t>
      </w:r>
    </w:p>
    <w:p>
      <w:pPr>
        <w:adjustRightInd w:val="0"/>
        <w:snapToGrid w:val="0"/>
        <w:spacing w:line="570" w:lineRule="exact"/>
        <w:jc w:val="left"/>
        <w:rPr>
          <w:rFonts w:ascii="宋体" w:hAnsi="宋体" w:cs="Times New Roman"/>
          <w:szCs w:val="32"/>
          <w:highlight w:val="none"/>
        </w:rPr>
      </w:pPr>
      <w:r>
        <w:rPr>
          <w:rFonts w:hint="eastAsia" w:ascii="宋体" w:hAnsi="宋体" w:cs="Times New Roman"/>
          <w:szCs w:val="32"/>
          <w:highlight w:val="none"/>
        </w:rPr>
        <w:t>“智慧团建”系统团员教育评议操作分为团支部录入评议结果和学院团委审核两个步骤，</w:t>
      </w:r>
      <w:r>
        <w:rPr>
          <w:rFonts w:hint="eastAsia" w:ascii="宋体" w:hAnsi="宋体" w:eastAsia="黑体" w:cs="黑体"/>
          <w:szCs w:val="32"/>
          <w:highlight w:val="none"/>
        </w:rPr>
        <w:t>缺一不可</w:t>
      </w:r>
      <w:r>
        <w:rPr>
          <w:rFonts w:hint="eastAsia" w:ascii="宋体" w:hAnsi="宋体" w:cs="Times New Roman"/>
          <w:szCs w:val="32"/>
          <w:highlight w:val="none"/>
        </w:rPr>
        <w:t>。</w:t>
      </w:r>
    </w:p>
    <w:p>
      <w:pPr>
        <w:rPr>
          <w:rFonts w:ascii="宋体" w:hAnsi="宋体" w:eastAsia="楷体_GB2312" w:cs="楷体_GB2312"/>
          <w:kern w:val="0"/>
          <w:szCs w:val="32"/>
          <w:highlight w:val="none"/>
          <w:lang w:bidi="ar"/>
        </w:rPr>
      </w:pPr>
      <w:r>
        <w:rPr>
          <w:rFonts w:hint="eastAsia" w:ascii="宋体" w:hAnsi="宋体" w:eastAsia="楷体_GB2312" w:cs="楷体_GB2312"/>
          <w:szCs w:val="32"/>
          <w:highlight w:val="none"/>
        </w:rPr>
        <w:t>（一）团支部录入评议结果（团支部管理员操作）</w:t>
      </w:r>
    </w:p>
    <w:p>
      <w:pPr>
        <w:rPr>
          <w:rFonts w:ascii="宋体" w:hAnsi="宋体" w:cs="仿宋_GB2312"/>
          <w:bCs/>
          <w:szCs w:val="32"/>
          <w:highlight w:val="none"/>
        </w:rPr>
      </w:pPr>
      <w:r>
        <w:rPr>
          <w:rFonts w:hint="eastAsia" w:ascii="宋体" w:hAnsi="宋体" w:cs="仿宋_GB2312"/>
          <w:bCs/>
          <w:szCs w:val="32"/>
          <w:highlight w:val="none"/>
        </w:rPr>
        <w:t>1.路径</w:t>
      </w:r>
    </w:p>
    <w:p>
      <w:pPr>
        <w:rPr>
          <w:rFonts w:ascii="宋体" w:hAnsi="宋体" w:cs="仿宋_GB2312"/>
          <w:szCs w:val="32"/>
          <w:highlight w:val="none"/>
        </w:rPr>
      </w:pPr>
      <w:r>
        <w:rPr>
          <w:rFonts w:hint="eastAsia" w:ascii="宋体" w:hAnsi="宋体" w:cs="仿宋_GB2312"/>
          <w:szCs w:val="32"/>
          <w:highlight w:val="none"/>
        </w:rPr>
        <w:t>管理中心——团内激励——评议激励</w:t>
      </w:r>
    </w:p>
    <w:p>
      <w:pPr>
        <w:rPr>
          <w:rFonts w:ascii="宋体" w:hAnsi="宋体" w:cs="仿宋_GB2312"/>
          <w:bCs/>
          <w:szCs w:val="32"/>
          <w:highlight w:val="none"/>
        </w:rPr>
      </w:pPr>
      <w:r>
        <w:rPr>
          <w:rFonts w:hint="eastAsia" w:ascii="宋体" w:hAnsi="宋体" w:cs="仿宋_GB2312"/>
          <w:bCs/>
          <w:szCs w:val="32"/>
          <w:highlight w:val="none"/>
        </w:rPr>
        <w:t>2.操作步骤</w:t>
      </w:r>
    </w:p>
    <w:p>
      <w:pPr>
        <w:rPr>
          <w:rFonts w:ascii="宋体" w:hAnsi="宋体" w:cs="仿宋_GB2312"/>
          <w:szCs w:val="32"/>
          <w:highlight w:val="none"/>
        </w:rPr>
      </w:pPr>
      <w:r>
        <w:rPr>
          <w:rFonts w:hint="eastAsia" w:ascii="宋体" w:hAnsi="宋体" w:cs="仿宋_GB2312"/>
          <w:szCs w:val="32"/>
          <w:highlight w:val="none"/>
        </w:rPr>
        <w:t>（1）管理中心页面，点击“团内激励”；</w:t>
      </w:r>
    </w:p>
    <w:p>
      <w:pPr>
        <w:rPr>
          <w:rFonts w:ascii="宋体" w:hAnsi="宋体" w:cs="仿宋_GB2312"/>
          <w:szCs w:val="32"/>
          <w:highlight w:val="none"/>
        </w:rPr>
      </w:pPr>
      <w:r>
        <w:rPr>
          <w:rFonts w:hint="eastAsia" w:ascii="宋体" w:hAnsi="宋体" w:cs="仿宋_GB2312"/>
          <w:szCs w:val="32"/>
          <w:highlight w:val="none"/>
        </w:rPr>
        <w:t>（2）点击“评议激励”，进入“评议激励”页面；</w:t>
      </w:r>
    </w:p>
    <w:p>
      <w:pPr>
        <w:rPr>
          <w:rFonts w:ascii="宋体" w:hAnsi="宋体" w:cs="仿宋_GB2312"/>
          <w:szCs w:val="32"/>
          <w:highlight w:val="none"/>
        </w:rPr>
      </w:pPr>
      <w:r>
        <w:rPr>
          <w:rFonts w:hint="eastAsia" w:ascii="宋体" w:hAnsi="宋体" w:cs="仿宋_GB2312"/>
          <w:szCs w:val="32"/>
          <w:highlight w:val="none"/>
        </w:rPr>
        <w:t>（3）在“评议激励”页面内，选择对应年度（2023年度）；</w:t>
      </w:r>
    </w:p>
    <w:p>
      <w:pPr>
        <w:rPr>
          <w:rFonts w:ascii="宋体" w:hAnsi="宋体" w:cs="仿宋_GB2312"/>
          <w:szCs w:val="32"/>
          <w:highlight w:val="none"/>
        </w:rPr>
      </w:pPr>
      <w:r>
        <w:rPr>
          <w:rFonts w:hint="eastAsia" w:ascii="宋体" w:hAnsi="宋体" w:cs="仿宋_GB2312"/>
          <w:szCs w:val="32"/>
          <w:highlight w:val="none"/>
        </w:rPr>
        <w:t>（4）在列表内“评议结果”一列内点击“请选择”下拉菜单，如实根据团支部大会的评议结果，逐个对各团员的等次进行登记。</w:t>
      </w:r>
    </w:p>
    <w:p>
      <w:pPr>
        <w:rPr>
          <w:rFonts w:ascii="宋体" w:hAnsi="宋体" w:cs="仿宋_GB2312"/>
          <w:bCs/>
          <w:szCs w:val="32"/>
          <w:highlight w:val="none"/>
        </w:rPr>
      </w:pPr>
      <w:r>
        <w:rPr>
          <w:rFonts w:hint="eastAsia" w:ascii="宋体" w:hAnsi="宋体" w:cs="仿宋_GB2312"/>
          <w:bCs/>
          <w:szCs w:val="32"/>
          <w:highlight w:val="none"/>
        </w:rPr>
        <w:t>3.注意事项</w:t>
      </w:r>
    </w:p>
    <w:p>
      <w:pPr>
        <w:rPr>
          <w:rFonts w:ascii="宋体" w:hAnsi="宋体" w:cs="仿宋"/>
          <w:szCs w:val="32"/>
          <w:highlight w:val="none"/>
        </w:rPr>
      </w:pPr>
      <w:r>
        <w:rPr>
          <w:rFonts w:hint="eastAsia" w:ascii="宋体" w:hAnsi="宋体" w:cs="仿宋_GB2312"/>
          <w:szCs w:val="32"/>
          <w:highlight w:val="none"/>
        </w:rPr>
        <w:t>团员评议等次分“优秀”“合格”“基本合格”“不合格”“不参与评议”五</w:t>
      </w:r>
      <w:r>
        <w:rPr>
          <w:rFonts w:hint="eastAsia" w:ascii="宋体" w:hAnsi="宋体" w:cs="仿宋"/>
          <w:szCs w:val="32"/>
          <w:highlight w:val="none"/>
        </w:rPr>
        <w:t>个等次，其中优秀等次团员数量应控制在参加评议团员人数的</w:t>
      </w:r>
      <w:r>
        <w:rPr>
          <w:rFonts w:hint="eastAsia" w:ascii="宋体" w:hAnsi="宋体" w:eastAsia="黑体" w:cs="黑体"/>
          <w:szCs w:val="32"/>
          <w:highlight w:val="none"/>
        </w:rPr>
        <w:t>30%以内</w:t>
      </w:r>
      <w:r>
        <w:rPr>
          <w:rFonts w:hint="eastAsia" w:ascii="宋体" w:hAnsi="宋体" w:cs="仿宋"/>
          <w:szCs w:val="32"/>
          <w:highlight w:val="none"/>
        </w:rPr>
        <w:t>。</w:t>
      </w:r>
    </w:p>
    <w:p>
      <w:pPr>
        <w:rPr>
          <w:rFonts w:ascii="宋体" w:hAnsi="宋体" w:eastAsia="黑体" w:cs="黑体"/>
          <w:highlight w:val="none"/>
        </w:rPr>
      </w:pPr>
      <w:r>
        <w:rPr>
          <w:rFonts w:hint="eastAsia" w:ascii="宋体" w:hAnsi="宋体" w:eastAsia="黑体" w:cs="黑体"/>
          <w:highlight w:val="none"/>
        </w:rPr>
        <w:t>※以上操作须于1</w:t>
      </w:r>
      <w:r>
        <w:rPr>
          <w:rFonts w:ascii="宋体" w:hAnsi="宋体" w:eastAsia="黑体" w:cs="黑体"/>
          <w:highlight w:val="none"/>
        </w:rPr>
        <w:t>2</w:t>
      </w:r>
      <w:r>
        <w:rPr>
          <w:rFonts w:hint="eastAsia" w:ascii="宋体" w:hAnsi="宋体" w:eastAsia="黑体" w:cs="黑体"/>
          <w:highlight w:val="none"/>
        </w:rPr>
        <w:t>月</w:t>
      </w:r>
      <w:r>
        <w:rPr>
          <w:rFonts w:hint="eastAsia" w:ascii="宋体" w:hAnsi="宋体" w:eastAsia="黑体" w:cs="黑体"/>
          <w:highlight w:val="none"/>
          <w:lang w:val="en-US" w:eastAsia="zh-CN"/>
        </w:rPr>
        <w:t>13</w:t>
      </w:r>
      <w:r>
        <w:rPr>
          <w:rFonts w:hint="eastAsia" w:ascii="宋体" w:hAnsi="宋体" w:eastAsia="黑体" w:cs="黑体"/>
          <w:highlight w:val="none"/>
        </w:rPr>
        <w:t>日前完成。</w:t>
      </w:r>
    </w:p>
    <w:p>
      <w:pPr>
        <w:snapToGrid w:val="0"/>
        <w:spacing w:line="560" w:lineRule="atLeast"/>
        <w:ind w:left="640" w:hanging="640" w:hangingChars="200"/>
        <w:rPr>
          <w:rFonts w:ascii="宋体" w:hAnsi="宋体"/>
          <w:highlight w:val="none"/>
        </w:rPr>
      </w:pPr>
      <w:r>
        <w:rPr>
          <w:rFonts w:ascii="宋体" w:hAnsi="宋体"/>
          <w:highlight w:val="none"/>
        </w:rPr>
        <w:drawing>
          <wp:inline distT="0" distB="0" distL="114300" distR="114300">
            <wp:extent cx="5605780" cy="2894330"/>
            <wp:effectExtent l="9525" t="9525" r="23495" b="10795"/>
            <wp:docPr id="1" name="图片 1" descr="C:\Users\Administrator.DESKTOP-LO4IC7C\Desktop\微信截图_20221123101543.png微信截图_2022112310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LO4IC7C\Desktop\微信截图_20221123101543.png微信截图_20221123101543"/>
                    <pic:cNvPicPr>
                      <a:picLocks noChangeAspect="1"/>
                    </pic:cNvPicPr>
                  </pic:nvPicPr>
                  <pic:blipFill>
                    <a:blip r:embed="rId13"/>
                    <a:srcRect/>
                    <a:stretch>
                      <a:fillRect/>
                    </a:stretch>
                  </pic:blipFill>
                  <pic:spPr>
                    <a:xfrm>
                      <a:off x="0" y="0"/>
                      <a:ext cx="5605780" cy="2894330"/>
                    </a:xfrm>
                    <a:prstGeom prst="rect">
                      <a:avLst/>
                    </a:prstGeom>
                    <a:noFill/>
                    <a:ln>
                      <a:solidFill>
                        <a:schemeClr val="tx1"/>
                      </a:solidFill>
                    </a:ln>
                  </pic:spPr>
                </pic:pic>
              </a:graphicData>
            </a:graphic>
          </wp:inline>
        </w:drawing>
      </w:r>
    </w:p>
    <w:p>
      <w:pPr>
        <w:rPr>
          <w:rFonts w:ascii="宋体" w:hAnsi="宋体" w:eastAsia="楷体_GB2312" w:cs="楷体_GB2312"/>
          <w:kern w:val="0"/>
          <w:szCs w:val="32"/>
          <w:highlight w:val="none"/>
          <w:lang w:bidi="ar"/>
        </w:rPr>
      </w:pPr>
      <w:r>
        <w:rPr>
          <w:rFonts w:hint="eastAsia" w:ascii="宋体" w:hAnsi="宋体" w:eastAsia="楷体_GB2312" w:cs="楷体_GB2312"/>
          <w:szCs w:val="32"/>
          <w:highlight w:val="none"/>
        </w:rPr>
        <w:t>二、学院团委审批评议结果（学院团委管理员操作）</w:t>
      </w:r>
    </w:p>
    <w:p>
      <w:pPr>
        <w:rPr>
          <w:rFonts w:ascii="宋体" w:hAnsi="宋体" w:eastAsia="楷体_GB2312" w:cs="仿宋"/>
          <w:bCs/>
          <w:szCs w:val="32"/>
          <w:highlight w:val="none"/>
        </w:rPr>
      </w:pPr>
      <w:r>
        <w:rPr>
          <w:rFonts w:hint="eastAsia" w:ascii="宋体" w:hAnsi="宋体" w:eastAsia="楷体_GB2312" w:cs="仿宋"/>
          <w:bCs/>
          <w:szCs w:val="32"/>
          <w:highlight w:val="none"/>
        </w:rPr>
        <w:t>1.路径</w:t>
      </w:r>
    </w:p>
    <w:p>
      <w:pPr>
        <w:rPr>
          <w:rFonts w:ascii="宋体" w:hAnsi="宋体" w:cs="仿宋"/>
          <w:szCs w:val="32"/>
          <w:highlight w:val="none"/>
        </w:rPr>
      </w:pPr>
      <w:r>
        <w:rPr>
          <w:rFonts w:hint="eastAsia" w:ascii="宋体" w:hAnsi="宋体" w:cs="仿宋"/>
          <w:szCs w:val="32"/>
          <w:highlight w:val="none"/>
        </w:rPr>
        <w:t>管理中心——团内激励——上级认证</w:t>
      </w:r>
    </w:p>
    <w:p>
      <w:pPr>
        <w:rPr>
          <w:rFonts w:ascii="宋体" w:hAnsi="宋体" w:eastAsia="楷体_GB2312" w:cs="仿宋"/>
          <w:bCs/>
          <w:szCs w:val="32"/>
          <w:highlight w:val="none"/>
        </w:rPr>
      </w:pPr>
      <w:r>
        <w:rPr>
          <w:rFonts w:hint="eastAsia" w:ascii="宋体" w:hAnsi="宋体" w:eastAsia="楷体_GB2312" w:cs="仿宋"/>
          <w:bCs/>
          <w:szCs w:val="32"/>
          <w:highlight w:val="none"/>
        </w:rPr>
        <w:t>2.操作步骤</w:t>
      </w:r>
    </w:p>
    <w:p>
      <w:pPr>
        <w:rPr>
          <w:rFonts w:ascii="宋体" w:hAnsi="宋体" w:cs="仿宋"/>
          <w:szCs w:val="32"/>
          <w:highlight w:val="none"/>
        </w:rPr>
      </w:pPr>
      <w:r>
        <w:rPr>
          <w:rFonts w:hint="eastAsia" w:ascii="宋体" w:hAnsi="宋体" w:cs="仿宋"/>
          <w:szCs w:val="32"/>
          <w:highlight w:val="none"/>
        </w:rPr>
        <w:t>（1）管理中心页面，点击“团内激励”</w:t>
      </w:r>
      <w:r>
        <w:rPr>
          <w:rFonts w:ascii="宋体" w:hAnsi="宋体" w:cs="仿宋"/>
          <w:szCs w:val="32"/>
          <w:highlight w:val="none"/>
        </w:rPr>
        <w:t>；</w:t>
      </w:r>
    </w:p>
    <w:p>
      <w:pPr>
        <w:rPr>
          <w:rFonts w:ascii="宋体" w:hAnsi="宋体" w:cs="仿宋"/>
          <w:szCs w:val="32"/>
          <w:highlight w:val="none"/>
        </w:rPr>
      </w:pPr>
      <w:r>
        <w:rPr>
          <w:rFonts w:hint="eastAsia" w:ascii="宋体" w:hAnsi="宋体" w:cs="仿宋"/>
          <w:szCs w:val="32"/>
          <w:highlight w:val="none"/>
        </w:rPr>
        <w:t>（2）</w:t>
      </w:r>
      <w:r>
        <w:rPr>
          <w:rFonts w:ascii="宋体" w:hAnsi="宋体" w:cs="仿宋"/>
          <w:szCs w:val="32"/>
          <w:highlight w:val="none"/>
        </w:rPr>
        <w:t>点击“</w:t>
      </w:r>
      <w:r>
        <w:rPr>
          <w:rFonts w:hint="eastAsia" w:ascii="宋体" w:hAnsi="宋体" w:cs="仿宋"/>
          <w:szCs w:val="32"/>
          <w:highlight w:val="none"/>
        </w:rPr>
        <w:t>上级认证</w:t>
      </w:r>
      <w:r>
        <w:rPr>
          <w:rFonts w:ascii="宋体" w:hAnsi="宋体" w:cs="仿宋"/>
          <w:szCs w:val="32"/>
          <w:highlight w:val="none"/>
        </w:rPr>
        <w:t>”，进入“</w:t>
      </w:r>
      <w:r>
        <w:rPr>
          <w:rFonts w:hint="eastAsia" w:ascii="宋体" w:hAnsi="宋体" w:cs="仿宋"/>
          <w:szCs w:val="32"/>
          <w:highlight w:val="none"/>
        </w:rPr>
        <w:t>上级认证</w:t>
      </w:r>
      <w:r>
        <w:rPr>
          <w:rFonts w:ascii="宋体" w:hAnsi="宋体" w:cs="仿宋"/>
          <w:szCs w:val="32"/>
          <w:highlight w:val="none"/>
        </w:rPr>
        <w:t>”页面</w:t>
      </w:r>
      <w:r>
        <w:rPr>
          <w:rFonts w:hint="eastAsia" w:ascii="宋体" w:hAnsi="宋体" w:cs="仿宋"/>
          <w:szCs w:val="32"/>
          <w:highlight w:val="none"/>
        </w:rPr>
        <w:t>；</w:t>
      </w:r>
    </w:p>
    <w:p>
      <w:pPr>
        <w:rPr>
          <w:rFonts w:ascii="宋体" w:hAnsi="宋体" w:cs="仿宋"/>
          <w:szCs w:val="32"/>
          <w:highlight w:val="none"/>
        </w:rPr>
      </w:pPr>
      <w:r>
        <w:rPr>
          <w:rFonts w:hint="eastAsia" w:ascii="宋体" w:hAnsi="宋体" w:cs="仿宋"/>
          <w:szCs w:val="32"/>
          <w:highlight w:val="none"/>
        </w:rPr>
        <w:t>（3）在</w:t>
      </w:r>
      <w:r>
        <w:rPr>
          <w:rFonts w:ascii="宋体" w:hAnsi="宋体" w:cs="仿宋"/>
          <w:szCs w:val="32"/>
          <w:highlight w:val="none"/>
        </w:rPr>
        <w:t>“</w:t>
      </w:r>
      <w:r>
        <w:rPr>
          <w:rFonts w:hint="eastAsia" w:ascii="宋体" w:hAnsi="宋体" w:cs="仿宋"/>
          <w:szCs w:val="32"/>
          <w:highlight w:val="none"/>
        </w:rPr>
        <w:t>上级认证</w:t>
      </w:r>
      <w:r>
        <w:rPr>
          <w:rFonts w:ascii="宋体" w:hAnsi="宋体" w:cs="仿宋"/>
          <w:szCs w:val="32"/>
          <w:highlight w:val="none"/>
        </w:rPr>
        <w:t>”页面内，</w:t>
      </w:r>
      <w:r>
        <w:rPr>
          <w:rFonts w:hint="eastAsia" w:ascii="宋体" w:hAnsi="宋体" w:cs="仿宋"/>
          <w:szCs w:val="32"/>
          <w:highlight w:val="none"/>
        </w:rPr>
        <w:t>点击“评议激励”</w:t>
      </w:r>
      <w:r>
        <w:rPr>
          <w:rFonts w:ascii="宋体" w:hAnsi="宋体" w:cs="仿宋"/>
          <w:szCs w:val="32"/>
          <w:highlight w:val="none"/>
        </w:rPr>
        <w:t>；</w:t>
      </w:r>
    </w:p>
    <w:p>
      <w:pPr>
        <w:rPr>
          <w:rFonts w:ascii="宋体" w:hAnsi="宋体" w:cs="仿宋"/>
          <w:szCs w:val="32"/>
          <w:highlight w:val="none"/>
        </w:rPr>
      </w:pPr>
      <w:r>
        <w:rPr>
          <w:rFonts w:hint="eastAsia" w:ascii="宋体" w:hAnsi="宋体" w:cs="仿宋"/>
          <w:szCs w:val="32"/>
          <w:highlight w:val="none"/>
        </w:rPr>
        <w:t>（4）</w:t>
      </w:r>
      <w:r>
        <w:rPr>
          <w:rFonts w:ascii="宋体" w:hAnsi="宋体" w:cs="仿宋"/>
          <w:szCs w:val="32"/>
          <w:highlight w:val="none"/>
        </w:rPr>
        <w:t>在列表内“</w:t>
      </w:r>
      <w:r>
        <w:rPr>
          <w:rFonts w:hint="eastAsia" w:ascii="宋体" w:hAnsi="宋体" w:cs="仿宋"/>
          <w:szCs w:val="32"/>
          <w:highlight w:val="none"/>
        </w:rPr>
        <w:t>操作</w:t>
      </w:r>
      <w:r>
        <w:rPr>
          <w:rFonts w:ascii="宋体" w:hAnsi="宋体" w:cs="仿宋"/>
          <w:szCs w:val="32"/>
          <w:highlight w:val="none"/>
        </w:rPr>
        <w:t>”一列内</w:t>
      </w:r>
      <w:r>
        <w:rPr>
          <w:rFonts w:hint="eastAsia" w:ascii="宋体" w:hAnsi="宋体" w:cs="仿宋"/>
          <w:szCs w:val="32"/>
          <w:highlight w:val="none"/>
        </w:rPr>
        <w:t>点击“审批”按钮，进入对应团员的审核界面，如实根据审查</w:t>
      </w:r>
      <w:r>
        <w:rPr>
          <w:rFonts w:ascii="宋体" w:hAnsi="宋体" w:cs="仿宋"/>
          <w:szCs w:val="32"/>
          <w:highlight w:val="none"/>
        </w:rPr>
        <w:t>的评议结果，逐个对各团员</w:t>
      </w:r>
      <w:r>
        <w:rPr>
          <w:rFonts w:hint="eastAsia" w:ascii="宋体" w:hAnsi="宋体" w:cs="仿宋"/>
          <w:szCs w:val="32"/>
          <w:highlight w:val="none"/>
        </w:rPr>
        <w:t>的等次</w:t>
      </w:r>
      <w:r>
        <w:rPr>
          <w:rFonts w:ascii="宋体" w:hAnsi="宋体" w:cs="仿宋"/>
          <w:szCs w:val="32"/>
          <w:highlight w:val="none"/>
        </w:rPr>
        <w:t>进行</w:t>
      </w:r>
      <w:r>
        <w:rPr>
          <w:rFonts w:hint="eastAsia" w:ascii="宋体" w:hAnsi="宋体" w:cs="仿宋"/>
          <w:szCs w:val="32"/>
          <w:highlight w:val="none"/>
        </w:rPr>
        <w:t>审核。</w:t>
      </w:r>
    </w:p>
    <w:p>
      <w:pPr>
        <w:rPr>
          <w:rFonts w:ascii="宋体" w:hAnsi="宋体" w:cs="仿宋"/>
          <w:szCs w:val="32"/>
          <w:highlight w:val="none"/>
        </w:rPr>
      </w:pPr>
      <w:r>
        <w:rPr>
          <w:rFonts w:hint="eastAsia" w:ascii="宋体" w:hAnsi="宋体" w:cs="仿宋"/>
          <w:szCs w:val="32"/>
          <w:highlight w:val="none"/>
        </w:rPr>
        <w:t>（5）点击“审批”按钮，可做“同意”“不同意”“调整评议等次”的操作。</w:t>
      </w:r>
    </w:p>
    <w:p>
      <w:pPr>
        <w:rPr>
          <w:rFonts w:ascii="宋体" w:hAnsi="宋体" w:eastAsia="黑体" w:cs="黑体"/>
          <w:highlight w:val="none"/>
        </w:rPr>
      </w:pPr>
      <w:r>
        <w:rPr>
          <w:rFonts w:hint="eastAsia" w:ascii="宋体" w:hAnsi="宋体" w:cs="仿宋"/>
          <w:szCs w:val="32"/>
          <w:highlight w:val="none"/>
        </w:rPr>
        <w:t>（6）</w:t>
      </w:r>
      <w:r>
        <w:rPr>
          <w:rFonts w:hint="eastAsia" w:ascii="宋体" w:hAnsi="宋体" w:eastAsia="黑体" w:cs="黑体"/>
          <w:szCs w:val="32"/>
          <w:highlight w:val="none"/>
        </w:rPr>
        <w:t>直至审批同意，方可完成一名团员的教育评议操作。</w:t>
      </w:r>
    </w:p>
    <w:p>
      <w:pPr>
        <w:rPr>
          <w:rFonts w:ascii="宋体" w:hAnsi="宋体" w:cs="仿宋"/>
          <w:szCs w:val="32"/>
          <w:highlight w:val="none"/>
        </w:rPr>
      </w:pPr>
      <w:r>
        <w:rPr>
          <w:rFonts w:hint="eastAsia" w:ascii="宋体" w:hAnsi="宋体" w:eastAsia="黑体" w:cs="黑体"/>
          <w:highlight w:val="none"/>
        </w:rPr>
        <w:t>※以上操作须于1</w:t>
      </w:r>
      <w:r>
        <w:rPr>
          <w:rFonts w:ascii="宋体" w:hAnsi="宋体" w:eastAsia="黑体" w:cs="黑体"/>
          <w:highlight w:val="none"/>
        </w:rPr>
        <w:t>2</w:t>
      </w:r>
      <w:r>
        <w:rPr>
          <w:rFonts w:hint="eastAsia" w:ascii="宋体" w:hAnsi="宋体" w:eastAsia="黑体" w:cs="黑体"/>
          <w:highlight w:val="none"/>
        </w:rPr>
        <w:t>月1</w:t>
      </w:r>
      <w:r>
        <w:rPr>
          <w:rFonts w:ascii="宋体" w:hAnsi="宋体" w:eastAsia="黑体" w:cs="黑体"/>
          <w:highlight w:val="none"/>
        </w:rPr>
        <w:t>6</w:t>
      </w:r>
      <w:r>
        <w:rPr>
          <w:rFonts w:hint="eastAsia" w:ascii="宋体" w:hAnsi="宋体" w:eastAsia="黑体" w:cs="黑体"/>
          <w:highlight w:val="none"/>
        </w:rPr>
        <w:t>日前完成。</w:t>
      </w:r>
    </w:p>
    <w:p>
      <w:pPr>
        <w:snapToGrid w:val="0"/>
        <w:spacing w:line="560" w:lineRule="atLeast"/>
        <w:ind w:left="640" w:hanging="640" w:hangingChars="200"/>
        <w:jc w:val="center"/>
        <w:rPr>
          <w:rFonts w:ascii="宋体" w:hAnsi="宋体"/>
          <w:highlight w:val="none"/>
        </w:rPr>
      </w:pPr>
      <w:r>
        <w:rPr>
          <w:rFonts w:ascii="宋体" w:hAnsi="宋体"/>
          <w:highlight w:val="none"/>
        </w:rPr>
        <w:drawing>
          <wp:inline distT="0" distB="0" distL="114300" distR="114300">
            <wp:extent cx="5611495" cy="2912110"/>
            <wp:effectExtent l="9525" t="9525" r="1778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611495" cy="2912110"/>
                    </a:xfrm>
                    <a:prstGeom prst="rect">
                      <a:avLst/>
                    </a:prstGeom>
                    <a:noFill/>
                    <a:ln>
                      <a:solidFill>
                        <a:schemeClr val="tx1"/>
                      </a:solidFill>
                    </a:ln>
                  </pic:spPr>
                </pic:pic>
              </a:graphicData>
            </a:graphic>
          </wp:inline>
        </w:drawing>
      </w:r>
    </w:p>
    <w:p>
      <w:pPr>
        <w:snapToGrid w:val="0"/>
        <w:spacing w:line="560" w:lineRule="atLeast"/>
        <w:ind w:firstLine="0" w:firstLineChars="0"/>
        <w:jc w:val="center"/>
        <w:rPr>
          <w:rFonts w:ascii="宋体" w:hAnsi="宋体"/>
          <w:highlight w:val="none"/>
        </w:rPr>
      </w:pPr>
      <w:r>
        <w:rPr>
          <w:rFonts w:ascii="宋体" w:hAnsi="宋体"/>
          <w:highlight w:val="none"/>
        </w:rPr>
        <w:drawing>
          <wp:inline distT="0" distB="0" distL="114300" distR="114300">
            <wp:extent cx="3710940" cy="1836420"/>
            <wp:effectExtent l="9525" t="9525" r="13335" b="2095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5"/>
                    <a:stretch>
                      <a:fillRect/>
                    </a:stretch>
                  </pic:blipFill>
                  <pic:spPr>
                    <a:xfrm>
                      <a:off x="0" y="0"/>
                      <a:ext cx="3710940" cy="1836420"/>
                    </a:xfrm>
                    <a:prstGeom prst="rect">
                      <a:avLst/>
                    </a:prstGeom>
                    <a:noFill/>
                    <a:ln>
                      <a:solidFill>
                        <a:schemeClr val="tx1"/>
                      </a:solidFill>
                    </a:ln>
                  </pic:spPr>
                </pic:pic>
              </a:graphicData>
            </a:graphic>
          </wp:inline>
        </w:drawing>
      </w:r>
      <w:r>
        <w:rPr>
          <w:rFonts w:ascii="宋体" w:hAnsi="宋体"/>
          <w:highlight w:val="none"/>
        </w:rPr>
        <w:drawing>
          <wp:inline distT="0" distB="0" distL="114300" distR="114300">
            <wp:extent cx="4830445" cy="2544445"/>
            <wp:effectExtent l="9525" t="9525" r="17780" b="1778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6"/>
                    <a:stretch>
                      <a:fillRect/>
                    </a:stretch>
                  </pic:blipFill>
                  <pic:spPr>
                    <a:xfrm>
                      <a:off x="0" y="0"/>
                      <a:ext cx="4830445" cy="2544445"/>
                    </a:xfrm>
                    <a:prstGeom prst="rect">
                      <a:avLst/>
                    </a:prstGeom>
                    <a:noFill/>
                    <a:ln>
                      <a:solidFill>
                        <a:schemeClr val="tx1"/>
                      </a:solidFill>
                    </a:ln>
                  </pic:spPr>
                </pic:pic>
              </a:graphicData>
            </a:graphic>
          </wp:inline>
        </w:drawing>
      </w:r>
    </w:p>
    <w:p>
      <w:pPr>
        <w:adjustRightInd w:val="0"/>
        <w:snapToGrid w:val="0"/>
        <w:spacing w:line="570" w:lineRule="exact"/>
        <w:ind w:firstLine="0" w:firstLineChars="0"/>
        <w:jc w:val="left"/>
        <w:rPr>
          <w:rFonts w:ascii="宋体" w:hAnsi="宋体" w:cs="Times New Roman"/>
          <w:szCs w:val="32"/>
          <w:highlight w:val="none"/>
        </w:rPr>
      </w:pPr>
    </w:p>
    <w:p>
      <w:pPr>
        <w:adjustRightInd w:val="0"/>
        <w:snapToGrid w:val="0"/>
        <w:spacing w:line="570" w:lineRule="exact"/>
        <w:jc w:val="left"/>
        <w:rPr>
          <w:rFonts w:ascii="宋体" w:hAnsi="宋体" w:eastAsia="黑体" w:cs="黑体"/>
          <w:szCs w:val="32"/>
          <w:highlight w:val="none"/>
        </w:rPr>
      </w:pPr>
      <w:r>
        <w:rPr>
          <w:rFonts w:hint="eastAsia" w:ascii="宋体" w:hAnsi="宋体" w:eastAsia="黑体" w:cs="黑体"/>
          <w:szCs w:val="32"/>
          <w:highlight w:val="none"/>
        </w:rPr>
        <w:t>二、年度团籍注册</w:t>
      </w:r>
    </w:p>
    <w:p>
      <w:pPr>
        <w:rPr>
          <w:rFonts w:ascii="宋体" w:hAnsi="宋体" w:eastAsia="楷体_GB2312" w:cs="仿宋"/>
          <w:bCs/>
          <w:szCs w:val="32"/>
          <w:highlight w:val="none"/>
        </w:rPr>
      </w:pPr>
      <w:r>
        <w:rPr>
          <w:rFonts w:hint="eastAsia" w:ascii="宋体" w:hAnsi="宋体" w:eastAsia="楷体_GB2312" w:cs="仿宋"/>
          <w:bCs/>
          <w:szCs w:val="32"/>
          <w:highlight w:val="none"/>
        </w:rPr>
        <w:t>（一）路径</w:t>
      </w:r>
    </w:p>
    <w:p>
      <w:pPr>
        <w:rPr>
          <w:rFonts w:ascii="宋体" w:hAnsi="宋体" w:cs="仿宋"/>
          <w:szCs w:val="32"/>
          <w:highlight w:val="none"/>
        </w:rPr>
      </w:pPr>
      <w:r>
        <w:rPr>
          <w:rFonts w:hint="eastAsia" w:ascii="宋体" w:hAnsi="宋体" w:cs="仿宋"/>
          <w:szCs w:val="32"/>
          <w:highlight w:val="none"/>
        </w:rPr>
        <w:t>管理中心——两制——年度团籍注册——注册</w:t>
      </w:r>
    </w:p>
    <w:p>
      <w:pPr>
        <w:rPr>
          <w:rFonts w:ascii="宋体" w:hAnsi="宋体" w:eastAsia="楷体_GB2312" w:cs="仿宋"/>
          <w:bCs/>
          <w:szCs w:val="32"/>
          <w:highlight w:val="none"/>
        </w:rPr>
      </w:pPr>
      <w:r>
        <w:rPr>
          <w:rFonts w:hint="eastAsia" w:ascii="宋体" w:hAnsi="宋体" w:eastAsia="楷体_GB2312" w:cs="仿宋"/>
          <w:bCs/>
          <w:szCs w:val="32"/>
          <w:highlight w:val="none"/>
        </w:rPr>
        <w:t>（二）操作步骤</w:t>
      </w:r>
    </w:p>
    <w:p>
      <w:pPr>
        <w:rPr>
          <w:rFonts w:ascii="宋体" w:hAnsi="宋体" w:cs="仿宋"/>
          <w:szCs w:val="32"/>
          <w:highlight w:val="none"/>
        </w:rPr>
      </w:pPr>
      <w:r>
        <w:rPr>
          <w:rFonts w:hint="eastAsia" w:ascii="宋体" w:hAnsi="宋体" w:cs="仿宋"/>
          <w:szCs w:val="32"/>
          <w:highlight w:val="none"/>
        </w:rPr>
        <w:t>1.</w:t>
      </w:r>
      <w:r>
        <w:rPr>
          <w:rFonts w:hint="eastAsia" w:ascii="宋体" w:hAnsi="宋体" w:eastAsia="黑体" w:cs="黑体"/>
          <w:szCs w:val="32"/>
          <w:highlight w:val="none"/>
        </w:rPr>
        <w:t>完成团员教育评议后</w:t>
      </w:r>
      <w:r>
        <w:rPr>
          <w:rFonts w:hint="eastAsia" w:ascii="宋体" w:hAnsi="宋体" w:cs="仿宋"/>
          <w:szCs w:val="32"/>
          <w:highlight w:val="none"/>
        </w:rPr>
        <w:t>，点击“年度团籍注册”</w:t>
      </w:r>
      <w:r>
        <w:rPr>
          <w:rFonts w:ascii="宋体" w:hAnsi="宋体" w:cs="仿宋"/>
          <w:szCs w:val="32"/>
          <w:highlight w:val="none"/>
        </w:rPr>
        <w:t>，进入“年度团籍注册”页面</w:t>
      </w:r>
      <w:r>
        <w:rPr>
          <w:rFonts w:hint="eastAsia" w:ascii="宋体" w:hAnsi="宋体" w:cs="仿宋"/>
          <w:szCs w:val="32"/>
          <w:highlight w:val="none"/>
        </w:rPr>
        <w:t>。</w:t>
      </w:r>
    </w:p>
    <w:p>
      <w:pPr>
        <w:rPr>
          <w:rFonts w:ascii="宋体" w:hAnsi="宋体" w:cs="仿宋"/>
          <w:szCs w:val="32"/>
          <w:highlight w:val="none"/>
        </w:rPr>
      </w:pPr>
      <w:r>
        <w:rPr>
          <w:rFonts w:hint="eastAsia" w:ascii="宋体" w:hAnsi="宋体" w:cs="仿宋"/>
          <w:szCs w:val="32"/>
          <w:highlight w:val="none"/>
        </w:rPr>
        <w:t>2.在“年度团籍注册”页面内，选择对应年度（2023年）；</w:t>
      </w:r>
    </w:p>
    <w:p>
      <w:pPr>
        <w:rPr>
          <w:rFonts w:ascii="宋体" w:hAnsi="宋体" w:cs="仿宋"/>
          <w:szCs w:val="32"/>
          <w:highlight w:val="none"/>
        </w:rPr>
      </w:pPr>
      <w:r>
        <w:rPr>
          <w:rFonts w:ascii="宋体" w:hAnsi="宋体" w:cs="仿宋"/>
          <w:szCs w:val="32"/>
          <w:highlight w:val="none"/>
        </w:rPr>
        <w:t>3</w:t>
      </w:r>
      <w:r>
        <w:rPr>
          <w:rFonts w:hint="eastAsia" w:ascii="宋体" w:hAnsi="宋体" w:cs="仿宋"/>
          <w:szCs w:val="32"/>
          <w:highlight w:val="none"/>
        </w:rPr>
        <w:t>.点击“未注册”，进行注册。</w:t>
      </w:r>
    </w:p>
    <w:p>
      <w:pPr>
        <w:snapToGrid w:val="0"/>
        <w:spacing w:line="560" w:lineRule="atLeast"/>
        <w:ind w:left="640" w:hanging="640" w:hangingChars="200"/>
        <w:rPr>
          <w:rFonts w:ascii="宋体" w:hAnsi="宋体"/>
          <w:highlight w:val="none"/>
        </w:rPr>
      </w:pPr>
      <w:r>
        <w:rPr>
          <w:rFonts w:ascii="宋体" w:hAnsi="宋体"/>
          <w:highlight w:val="none"/>
        </w:rPr>
        <w:drawing>
          <wp:inline distT="0" distB="0" distL="114300" distR="114300">
            <wp:extent cx="5615305" cy="3591560"/>
            <wp:effectExtent l="9525" t="9525" r="13970" b="1841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7"/>
                    <a:stretch>
                      <a:fillRect/>
                    </a:stretch>
                  </pic:blipFill>
                  <pic:spPr>
                    <a:xfrm>
                      <a:off x="0" y="0"/>
                      <a:ext cx="5615305" cy="3591560"/>
                    </a:xfrm>
                    <a:prstGeom prst="rect">
                      <a:avLst/>
                    </a:prstGeom>
                    <a:noFill/>
                    <a:ln w="9525">
                      <a:solidFill>
                        <a:schemeClr val="tx1"/>
                      </a:solidFill>
                    </a:ln>
                  </pic:spPr>
                </pic:pic>
              </a:graphicData>
            </a:graphic>
          </wp:inline>
        </w:drawing>
      </w:r>
    </w:p>
    <w:p>
      <w:pPr>
        <w:snapToGrid w:val="0"/>
        <w:spacing w:line="240" w:lineRule="auto"/>
        <w:ind w:left="440" w:hanging="440" w:hangingChars="200"/>
        <w:jc w:val="center"/>
        <w:rPr>
          <w:rFonts w:ascii="宋体" w:hAnsi="宋体"/>
          <w:sz w:val="22"/>
          <w:szCs w:val="20"/>
          <w:highlight w:val="none"/>
        </w:rPr>
      </w:pPr>
    </w:p>
    <w:p>
      <w:pPr>
        <w:snapToGrid w:val="0"/>
        <w:spacing w:line="560" w:lineRule="atLeast"/>
        <w:ind w:left="640" w:hanging="640" w:hangingChars="200"/>
        <w:jc w:val="center"/>
        <w:rPr>
          <w:rFonts w:ascii="宋体" w:hAnsi="宋体" w:cs="Times New Roman"/>
          <w:szCs w:val="32"/>
          <w:highlight w:val="none"/>
        </w:rPr>
      </w:pPr>
      <w:r>
        <w:rPr>
          <w:rFonts w:ascii="宋体" w:hAnsi="宋体"/>
          <w:highlight w:val="none"/>
        </w:rPr>
        <w:drawing>
          <wp:inline distT="0" distB="0" distL="114300" distR="114300">
            <wp:extent cx="3994150" cy="1089025"/>
            <wp:effectExtent l="9525" t="9525" r="15875" b="2540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8"/>
                    <a:srcRect l="1382" t="5926" r="1997" b="9383"/>
                    <a:stretch>
                      <a:fillRect/>
                    </a:stretch>
                  </pic:blipFill>
                  <pic:spPr>
                    <a:xfrm>
                      <a:off x="0" y="0"/>
                      <a:ext cx="3994150" cy="1089025"/>
                    </a:xfrm>
                    <a:prstGeom prst="rect">
                      <a:avLst/>
                    </a:prstGeom>
                    <a:noFill/>
                    <a:ln w="9525">
                      <a:solidFill>
                        <a:schemeClr val="tx1"/>
                      </a:solidFill>
                    </a:ln>
                  </pic:spPr>
                </pic:pic>
              </a:graphicData>
            </a:graphic>
          </wp:inline>
        </w:drawing>
      </w:r>
    </w:p>
    <w:p>
      <w:pPr>
        <w:adjustRightInd w:val="0"/>
        <w:snapToGrid w:val="0"/>
        <w:spacing w:line="570" w:lineRule="exact"/>
        <w:ind w:firstLine="0" w:firstLineChars="0"/>
        <w:jc w:val="left"/>
        <w:rPr>
          <w:rFonts w:ascii="宋体" w:hAnsi="宋体" w:eastAsia="黑体" w:cs="黑体"/>
          <w:szCs w:val="32"/>
          <w:highlight w:val="none"/>
        </w:rPr>
      </w:pPr>
      <w:r>
        <w:rPr>
          <w:rFonts w:hint="eastAsia" w:ascii="宋体" w:hAnsi="宋体" w:eastAsia="黑体" w:cs="黑体"/>
          <w:szCs w:val="32"/>
          <w:highlight w:val="none"/>
        </w:rPr>
        <w:t>附件</w:t>
      </w:r>
      <w:r>
        <w:rPr>
          <w:rFonts w:hint="eastAsia" w:ascii="宋体" w:hAnsi="宋体" w:eastAsiaTheme="minorEastAsia" w:cstheme="minorEastAsia"/>
          <w:szCs w:val="32"/>
          <w:highlight w:val="none"/>
        </w:rPr>
        <w:t>5</w:t>
      </w:r>
    </w:p>
    <w:p>
      <w:pPr>
        <w:adjustRightInd w:val="0"/>
        <w:snapToGrid w:val="0"/>
        <w:spacing w:line="570" w:lineRule="exact"/>
        <w:jc w:val="left"/>
        <w:rPr>
          <w:rFonts w:ascii="宋体" w:hAnsi="宋体" w:cs="Times New Roman"/>
          <w:szCs w:val="32"/>
          <w:highlight w:val="none"/>
        </w:rPr>
      </w:pPr>
    </w:p>
    <w:p>
      <w:pPr>
        <w:ind w:firstLine="0" w:firstLineChars="0"/>
        <w:jc w:val="center"/>
        <w:rPr>
          <w:rFonts w:ascii="宋体" w:hAnsi="宋体" w:eastAsia="方正小标宋简体" w:cs="黑体"/>
          <w:sz w:val="44"/>
          <w:szCs w:val="44"/>
          <w:highlight w:val="none"/>
        </w:rPr>
      </w:pPr>
      <w:r>
        <w:rPr>
          <w:rFonts w:hint="eastAsia" w:ascii="宋体" w:hAnsi="宋体" w:eastAsia="方正小标宋简体" w:cs="黑体"/>
          <w:sz w:val="44"/>
          <w:szCs w:val="44"/>
          <w:highlight w:val="none"/>
        </w:rPr>
        <w:t>2023年度青岛农业大学团员教育评议信息</w:t>
      </w:r>
    </w:p>
    <w:p>
      <w:pPr>
        <w:ind w:firstLine="0" w:firstLineChars="0"/>
        <w:jc w:val="center"/>
        <w:rPr>
          <w:rFonts w:ascii="宋体" w:hAnsi="宋体" w:eastAsia="方正小标宋简体" w:cs="黑体"/>
          <w:sz w:val="44"/>
          <w:szCs w:val="44"/>
          <w:highlight w:val="none"/>
        </w:rPr>
      </w:pPr>
      <w:r>
        <w:rPr>
          <w:rFonts w:hint="eastAsia" w:ascii="宋体" w:hAnsi="宋体" w:eastAsia="方正小标宋简体" w:cs="黑体"/>
          <w:sz w:val="44"/>
          <w:szCs w:val="44"/>
          <w:highlight w:val="none"/>
        </w:rPr>
        <w:t>汇总表</w:t>
      </w:r>
    </w:p>
    <w:p>
      <w:pPr>
        <w:spacing w:line="570" w:lineRule="exact"/>
        <w:ind w:firstLine="0" w:firstLineChars="0"/>
        <w:jc w:val="center"/>
        <w:rPr>
          <w:rFonts w:ascii="宋体" w:hAnsi="宋体" w:cs="Times New Roman"/>
          <w:bCs/>
          <w:color w:val="000000"/>
          <w:kern w:val="0"/>
          <w:szCs w:val="32"/>
          <w:highlight w:val="none"/>
        </w:rPr>
      </w:pPr>
    </w:p>
    <w:p>
      <w:pPr>
        <w:spacing w:line="570" w:lineRule="exact"/>
        <w:ind w:firstLine="0" w:firstLineChars="0"/>
        <w:jc w:val="center"/>
        <w:rPr>
          <w:rFonts w:ascii="宋体" w:hAnsi="宋体" w:cs="Times New Roman"/>
          <w:bCs/>
          <w:color w:val="000000"/>
          <w:kern w:val="0"/>
          <w:szCs w:val="32"/>
          <w:highlight w:val="none"/>
        </w:rPr>
      </w:pPr>
      <w:r>
        <w:rPr>
          <w:rFonts w:hint="eastAsia" w:ascii="宋体" w:hAnsi="宋体" w:cs="Times New Roman"/>
          <w:bCs/>
          <w:color w:val="000000"/>
          <w:kern w:val="0"/>
          <w:szCs w:val="32"/>
          <w:highlight w:val="none"/>
        </w:rPr>
        <w:t>（详见Excel附件）</w:t>
      </w: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ascii="Times New Roman" w:hAnsi="Times New Roman" w:cs="Times New Roman"/>
          <w:bCs/>
          <w:color w:val="000000"/>
          <w:kern w:val="0"/>
          <w:szCs w:val="32"/>
          <w:highlight w:val="none"/>
        </w:rPr>
      </w:pPr>
    </w:p>
    <w:p>
      <w:pPr>
        <w:spacing w:line="570" w:lineRule="exact"/>
        <w:ind w:firstLine="0" w:firstLineChars="0"/>
        <w:rPr>
          <w:rFonts w:cs="Times New Roman"/>
          <w:szCs w:val="32"/>
          <w:highlight w:val="none"/>
        </w:rPr>
      </w:pPr>
      <w:r>
        <w:rPr>
          <w:rFonts w:ascii="Times New Roman" w:hAnsi="Times New Roman" w:cs="Times New Roman"/>
          <w:sz w:val="21"/>
          <w:highlight w:val="none"/>
        </w:rPr>
        <mc:AlternateContent>
          <mc:Choice Requires="wps">
            <w:drawing>
              <wp:anchor distT="0" distB="0" distL="114300" distR="114300" simplePos="0" relativeHeight="251660288" behindDoc="0" locked="0" layoutInCell="1" allowOverlap="1">
                <wp:simplePos x="0" y="0"/>
                <wp:positionH relativeFrom="column">
                  <wp:posOffset>4601210</wp:posOffset>
                </wp:positionH>
                <wp:positionV relativeFrom="paragraph">
                  <wp:posOffset>7831455</wp:posOffset>
                </wp:positionV>
                <wp:extent cx="1156970" cy="542925"/>
                <wp:effectExtent l="5080" t="4445" r="19050"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56970" cy="542925"/>
                        </a:xfrm>
                        <a:prstGeom prst="rect">
                          <a:avLst/>
                        </a:prstGeom>
                        <a:solidFill>
                          <a:srgbClr val="FFFFFF"/>
                        </a:solidFill>
                        <a:ln w="9525">
                          <a:solidFill>
                            <a:srgbClr val="FFFFFF"/>
                          </a:solidFill>
                          <a:miter lim="800000"/>
                        </a:ln>
                        <a:effectLst/>
                      </wps:spPr>
                      <wps:txbx>
                        <w:txbxContent>
                          <w:p>
                            <w:pPr>
                              <w:spacing w:line="570" w:lineRule="exact"/>
                              <w:ind w:firstLine="0" w:firstLineChars="0"/>
                              <w:rPr>
                                <w:rFonts w:ascii="Times New Roman" w:hAnsi="Times New Roman" w:eastAsia="宋体" w:cs="Times New Roman"/>
                                <w:sz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2.3pt;margin-top:616.65pt;height:42.75pt;width:91.1pt;z-index:251660288;mso-width-relative:page;mso-height-relative:page;" fillcolor="#FFFFFF" filled="t" stroked="t" coordsize="21600,21600" o:gfxdata="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GHEU/aAAAADQEAAA8AAAAAAAAAAQAgAAAA&#10;IgAAAGRycy9kb3ducmV2LnhtbFBLAQIUABQAAAAIAIdO4kC571MZQgIAAJUEAAAOAAAAAAAAAAEA&#10;IAAAACkBAABkcnMvZTJvRG9jLnhtbFBLBQYAAAAABgAGAFkBAADdBQAAAAA=&#10;">
                <v:fill on="t" focussize="0,0"/>
                <v:stroke color="#FFFFFF" miterlimit="8" joinstyle="miter"/>
                <v:imagedata o:title=""/>
                <o:lock v:ext="edit" aspectratio="f"/>
                <v:textbox>
                  <w:txbxContent>
                    <w:p>
                      <w:pPr>
                        <w:spacing w:line="570" w:lineRule="exact"/>
                        <w:ind w:firstLine="0" w:firstLineChars="0"/>
                        <w:rPr>
                          <w:rFonts w:ascii="Times New Roman" w:hAnsi="Times New Roman" w:eastAsia="宋体" w:cs="Times New Roman"/>
                          <w:sz w:val="21"/>
                        </w:rPr>
                      </w:pPr>
                    </w:p>
                  </w:txbxContent>
                </v:textbox>
              </v:shape>
            </w:pict>
          </mc:Fallback>
        </mc:AlternateContent>
      </w:r>
    </w:p>
    <w:sectPr>
      <w:pgSz w:w="11906" w:h="16838"/>
      <w:pgMar w:top="2098" w:right="1474" w:bottom="1984" w:left="1587" w:header="851" w:footer="992" w:gutter="0"/>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DejaVu Sans">
    <w:altName w:val="AMGDT"/>
    <w:panose1 w:val="00000000000000000000"/>
    <w:charset w:val="00"/>
    <w:family w:val="roman"/>
    <w:pitch w:val="default"/>
    <w:sig w:usb0="00000000" w:usb1="00000000" w:usb2="00000008" w:usb3="00000000" w:csb0="0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MjM3M2I5MzNkNzk4OTFjNDA2OWRlZjY4NGZiYTAifQ=="/>
  </w:docVars>
  <w:rsids>
    <w:rsidRoot w:val="FFA70A99"/>
    <w:rsid w:val="00052846"/>
    <w:rsid w:val="000D6519"/>
    <w:rsid w:val="001404E0"/>
    <w:rsid w:val="00291A2E"/>
    <w:rsid w:val="004852F7"/>
    <w:rsid w:val="005E29FF"/>
    <w:rsid w:val="00616103"/>
    <w:rsid w:val="0063344B"/>
    <w:rsid w:val="00643B9F"/>
    <w:rsid w:val="00660AEA"/>
    <w:rsid w:val="006D006A"/>
    <w:rsid w:val="006E2302"/>
    <w:rsid w:val="00701E14"/>
    <w:rsid w:val="00815BA4"/>
    <w:rsid w:val="008806EC"/>
    <w:rsid w:val="008B7D97"/>
    <w:rsid w:val="008E2131"/>
    <w:rsid w:val="00910D31"/>
    <w:rsid w:val="00925A53"/>
    <w:rsid w:val="00A53D57"/>
    <w:rsid w:val="00A7435F"/>
    <w:rsid w:val="00B622F6"/>
    <w:rsid w:val="00BA2CD6"/>
    <w:rsid w:val="00BC4F02"/>
    <w:rsid w:val="00C76465"/>
    <w:rsid w:val="00D639D4"/>
    <w:rsid w:val="00D84265"/>
    <w:rsid w:val="00E0336E"/>
    <w:rsid w:val="00E31011"/>
    <w:rsid w:val="00E90764"/>
    <w:rsid w:val="00E90888"/>
    <w:rsid w:val="00EC4756"/>
    <w:rsid w:val="00F8371E"/>
    <w:rsid w:val="13D84E91"/>
    <w:rsid w:val="15B7498E"/>
    <w:rsid w:val="16082587"/>
    <w:rsid w:val="16307885"/>
    <w:rsid w:val="16BBA9F1"/>
    <w:rsid w:val="1BFBCF46"/>
    <w:rsid w:val="1FB66780"/>
    <w:rsid w:val="2F7BA78D"/>
    <w:rsid w:val="2FFDDB6E"/>
    <w:rsid w:val="3006682E"/>
    <w:rsid w:val="321B268E"/>
    <w:rsid w:val="36D655A3"/>
    <w:rsid w:val="37367EEB"/>
    <w:rsid w:val="38BF1900"/>
    <w:rsid w:val="39FAAD86"/>
    <w:rsid w:val="3BEB7CBC"/>
    <w:rsid w:val="3DBF76D3"/>
    <w:rsid w:val="3DEBAFEE"/>
    <w:rsid w:val="3FB935A2"/>
    <w:rsid w:val="3FEE2760"/>
    <w:rsid w:val="42071D70"/>
    <w:rsid w:val="428B5495"/>
    <w:rsid w:val="440B094F"/>
    <w:rsid w:val="457206DB"/>
    <w:rsid w:val="46FA995A"/>
    <w:rsid w:val="47C451F4"/>
    <w:rsid w:val="4B6475AA"/>
    <w:rsid w:val="4C446F11"/>
    <w:rsid w:val="4CA30317"/>
    <w:rsid w:val="58B91638"/>
    <w:rsid w:val="5BAF7E26"/>
    <w:rsid w:val="5C2F26ED"/>
    <w:rsid w:val="6A5D4251"/>
    <w:rsid w:val="6AFD4C8E"/>
    <w:rsid w:val="6BFF1616"/>
    <w:rsid w:val="6F5F80A3"/>
    <w:rsid w:val="71742DD7"/>
    <w:rsid w:val="73FF4C1A"/>
    <w:rsid w:val="74FFD553"/>
    <w:rsid w:val="757A17DA"/>
    <w:rsid w:val="76FDCE71"/>
    <w:rsid w:val="77BF28B6"/>
    <w:rsid w:val="7BB753AC"/>
    <w:rsid w:val="7F5001F7"/>
    <w:rsid w:val="7F6A565B"/>
    <w:rsid w:val="877FCF6F"/>
    <w:rsid w:val="9EFF8314"/>
    <w:rsid w:val="AFAF1A87"/>
    <w:rsid w:val="AFD7D2F8"/>
    <w:rsid w:val="B6F74ECE"/>
    <w:rsid w:val="BA9F190C"/>
    <w:rsid w:val="BFAEFE90"/>
    <w:rsid w:val="CCC96A6F"/>
    <w:rsid w:val="CFDDBC49"/>
    <w:rsid w:val="DBB700D8"/>
    <w:rsid w:val="DFFFFB69"/>
    <w:rsid w:val="E63FB42C"/>
    <w:rsid w:val="E67F04B4"/>
    <w:rsid w:val="EADFE577"/>
    <w:rsid w:val="F1761FAE"/>
    <w:rsid w:val="F75F8DC1"/>
    <w:rsid w:val="F7FF09C9"/>
    <w:rsid w:val="FB6F182B"/>
    <w:rsid w:val="FC5638CC"/>
    <w:rsid w:val="FF1FC11B"/>
    <w:rsid w:val="FF7EDA0A"/>
    <w:rsid w:val="FFA70A99"/>
    <w:rsid w:val="FFAD9D75"/>
    <w:rsid w:val="FFF6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宋体" w:hAnsi="宋体" w:eastAsia="仿宋_GB2312" w:cstheme="minorBidi"/>
      <w:kern w:val="2"/>
      <w:sz w:val="32"/>
      <w:szCs w:val="24"/>
      <w:lang w:val="en-US" w:eastAsia="zh-CN" w:bidi="ar-SA"/>
    </w:rPr>
  </w:style>
  <w:style w:type="paragraph" w:styleId="2">
    <w:name w:val="heading 1"/>
    <w:basedOn w:val="1"/>
    <w:next w:val="1"/>
    <w:link w:val="12"/>
    <w:qFormat/>
    <w:uiPriority w:val="0"/>
    <w:pPr>
      <w:keepNext/>
      <w:keepLines/>
      <w:outlineLvl w:val="0"/>
    </w:pPr>
    <w:rPr>
      <w:rFonts w:eastAsia="黑体"/>
      <w:bCs/>
      <w:kern w:val="44"/>
      <w:szCs w:val="44"/>
    </w:rPr>
  </w:style>
  <w:style w:type="paragraph" w:styleId="3">
    <w:name w:val="heading 2"/>
    <w:basedOn w:val="1"/>
    <w:next w:val="1"/>
    <w:link w:val="13"/>
    <w:unhideWhenUsed/>
    <w:qFormat/>
    <w:uiPriority w:val="0"/>
    <w:pPr>
      <w:keepNext/>
      <w:keepLines/>
      <w:outlineLvl w:val="1"/>
    </w:pPr>
    <w:rPr>
      <w:rFonts w:eastAsia="楷体_GB2312" w:cstheme="majorBidi"/>
      <w:bCs/>
      <w:sz w:val="30"/>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customStyle="1" w:styleId="9">
    <w:name w:val="二级标题"/>
    <w:basedOn w:val="1"/>
    <w:qFormat/>
    <w:uiPriority w:val="0"/>
    <w:pPr>
      <w:ind w:firstLine="880"/>
    </w:pPr>
    <w:rPr>
      <w:rFonts w:eastAsia="楷体"/>
      <w:kern w:val="44"/>
    </w:rPr>
  </w:style>
  <w:style w:type="paragraph" w:customStyle="1" w:styleId="10">
    <w:name w:val="一级标题"/>
    <w:basedOn w:val="2"/>
    <w:qFormat/>
    <w:uiPriority w:val="0"/>
    <w:pPr>
      <w:keepNext w:val="0"/>
      <w:ind w:firstLine="880"/>
    </w:pPr>
  </w:style>
  <w:style w:type="paragraph" w:customStyle="1" w:styleId="11">
    <w:name w:val="图片"/>
    <w:basedOn w:val="1"/>
    <w:qFormat/>
    <w:uiPriority w:val="0"/>
    <w:pPr>
      <w:spacing w:line="500" w:lineRule="atLeast"/>
      <w:ind w:firstLine="0" w:firstLineChars="0"/>
      <w:jc w:val="center"/>
    </w:pPr>
  </w:style>
  <w:style w:type="character" w:customStyle="1" w:styleId="12">
    <w:name w:val="标题 1 字符"/>
    <w:basedOn w:val="8"/>
    <w:link w:val="2"/>
    <w:qFormat/>
    <w:uiPriority w:val="9"/>
    <w:rPr>
      <w:rFonts w:ascii="宋体" w:hAnsi="宋体" w:eastAsia="黑体"/>
      <w:bCs/>
      <w:kern w:val="44"/>
      <w:sz w:val="32"/>
      <w:szCs w:val="44"/>
    </w:rPr>
  </w:style>
  <w:style w:type="character" w:customStyle="1" w:styleId="13">
    <w:name w:val="标题 2 字符"/>
    <w:basedOn w:val="8"/>
    <w:link w:val="3"/>
    <w:qFormat/>
    <w:uiPriority w:val="9"/>
    <w:rPr>
      <w:rFonts w:ascii="宋体" w:hAnsi="宋体" w:eastAsia="楷体_GB2312" w:cstheme="majorBidi"/>
      <w:bCs/>
      <w:sz w:val="30"/>
      <w:szCs w:val="32"/>
    </w:rPr>
  </w:style>
  <w:style w:type="table" w:customStyle="1" w:styleId="14">
    <w:name w:val="网格型3"/>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4378</Words>
  <Characters>4573</Characters>
  <Lines>1</Lines>
  <Paragraphs>1</Paragraphs>
  <TotalTime>10</TotalTime>
  <ScaleCrop>false</ScaleCrop>
  <LinksUpToDate>false</LinksUpToDate>
  <CharactersWithSpaces>4607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2020-02-06T17:15:00Z</dcterms:created>
  <dc:creator>jiaojian</dc:creator>
  <cp:lastModifiedBy>money.</cp:lastModifiedBy>
  <dcterms:modified xsi:type="dcterms:W3CDTF">2023-11-22T11:45:09Z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3EE0D161DBD14DF2ADA8D68FA3E86C97_13</vt:lpwstr>
  </property>
</Properties>
</file>